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278646">
      <w:pPr>
        <w:keepNext w:val="0"/>
        <w:keepLines w:val="0"/>
        <w:pageBreakBefore w:val="0"/>
        <w:widowControl w:val="0"/>
        <w:kinsoku/>
        <w:wordWrap/>
        <w:overflowPunct/>
        <w:topLinePunct w:val="0"/>
        <w:bidi w:val="0"/>
        <w:adjustRightInd/>
        <w:snapToGrid/>
        <w:spacing w:line="570" w:lineRule="exact"/>
        <w:jc w:val="center"/>
        <w:textAlignment w:val="auto"/>
        <w:rPr>
          <w:rFonts w:hint="default" w:ascii="Times New Roman" w:hAnsi="Times New Roman" w:eastAsia="方正小标宋_GBK" w:cs="Times New Roman"/>
          <w:sz w:val="44"/>
          <w:szCs w:val="44"/>
          <w:lang w:val="en-US" w:eastAsia="zh-CN"/>
        </w:rPr>
      </w:pPr>
      <w:bookmarkStart w:id="10" w:name="_GoBack"/>
      <w:bookmarkEnd w:id="10"/>
      <w:r>
        <w:rPr>
          <w:rFonts w:hint="default" w:ascii="Times New Roman" w:hAnsi="Times New Roman" w:eastAsia="方正小标宋_GBK" w:cs="Times New Roman"/>
          <w:sz w:val="44"/>
          <w:szCs w:val="44"/>
        </w:rPr>
        <w:t>黄山高新技术产业开发区202</w:t>
      </w:r>
      <w:r>
        <w:rPr>
          <w:rFonts w:hint="default" w:ascii="Times New Roman" w:hAnsi="Times New Roman" w:eastAsia="方正小标宋_GBK" w:cs="Times New Roman"/>
          <w:sz w:val="44"/>
          <w:szCs w:val="44"/>
          <w:lang w:val="en-US" w:eastAsia="zh-CN"/>
        </w:rPr>
        <w:t>5</w:t>
      </w:r>
      <w:r>
        <w:rPr>
          <w:rFonts w:hint="default" w:ascii="Times New Roman" w:hAnsi="Times New Roman" w:eastAsia="方正小标宋_GBK" w:cs="Times New Roman"/>
          <w:sz w:val="44"/>
          <w:szCs w:val="44"/>
        </w:rPr>
        <w:t>年“</w:t>
      </w:r>
      <w:r>
        <w:rPr>
          <w:rFonts w:hint="default" w:ascii="Times New Roman" w:hAnsi="Times New Roman" w:eastAsia="方正小标宋_GBK" w:cs="Times New Roman"/>
          <w:sz w:val="44"/>
          <w:szCs w:val="44"/>
          <w:lang w:val="en-US" w:eastAsia="zh-CN"/>
        </w:rPr>
        <w:t>园区转型</w:t>
      </w:r>
    </w:p>
    <w:p w14:paraId="00304F10">
      <w:pPr>
        <w:keepNext w:val="0"/>
        <w:keepLines w:val="0"/>
        <w:pageBreakBefore w:val="0"/>
        <w:widowControl w:val="0"/>
        <w:kinsoku/>
        <w:wordWrap/>
        <w:overflowPunct/>
        <w:topLinePunct w:val="0"/>
        <w:bidi w:val="0"/>
        <w:adjustRightInd/>
        <w:snapToGrid/>
        <w:spacing w:line="57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lang w:val="en-US" w:eastAsia="zh-CN"/>
        </w:rPr>
        <w:t>升级攻坚年</w:t>
      </w:r>
      <w:r>
        <w:rPr>
          <w:rFonts w:hint="default" w:ascii="Times New Roman" w:hAnsi="Times New Roman" w:eastAsia="方正小标宋_GBK" w:cs="Times New Roman"/>
          <w:sz w:val="44"/>
          <w:szCs w:val="44"/>
        </w:rPr>
        <w:t>”活动实施方案</w:t>
      </w:r>
    </w:p>
    <w:p w14:paraId="478AEAAF">
      <w:pPr>
        <w:keepNext w:val="0"/>
        <w:keepLines w:val="0"/>
        <w:pageBreakBefore w:val="0"/>
        <w:widowControl w:val="0"/>
        <w:kinsoku/>
        <w:wordWrap/>
        <w:overflowPunct/>
        <w:topLinePunct w:val="0"/>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p>
    <w:p w14:paraId="6BDEAB33">
      <w:pPr>
        <w:keepNext w:val="0"/>
        <w:keepLines w:val="0"/>
        <w:pageBreakBefore w:val="0"/>
        <w:widowControl w:val="0"/>
        <w:kinsoku/>
        <w:wordWrap/>
        <w:overflowPunct/>
        <w:topLinePunct w:val="0"/>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年是深入贯彻落实党的二十届三中全会精神和习近平总书记考察安徽重要讲话精神的重要一年，是“十四五”规划收官之年</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围绕“创新高地、产业兴城”发展定位，以“比发展、讲奉献、重实干”为主题推进作风建设，开展实施“1</w:t>
      </w:r>
      <w:r>
        <w:rPr>
          <w:rFonts w:hint="default" w:ascii="Times New Roman" w:hAnsi="Times New Roman" w:eastAsia="仿宋_GB2312" w:cs="Times New Roman"/>
          <w:sz w:val="32"/>
          <w:szCs w:val="32"/>
          <w:lang w:eastAsia="zh-CN"/>
        </w:rPr>
        <w:t>22</w:t>
      </w:r>
      <w:r>
        <w:rPr>
          <w:rFonts w:hint="default" w:ascii="Times New Roman" w:hAnsi="Times New Roman" w:eastAsia="仿宋_GB2312" w:cs="Times New Roman"/>
          <w:sz w:val="32"/>
          <w:szCs w:val="32"/>
        </w:rPr>
        <w:t>7”工程，</w:t>
      </w:r>
      <w:r>
        <w:rPr>
          <w:rFonts w:hint="default" w:ascii="Times New Roman" w:hAnsi="Times New Roman" w:eastAsia="仿宋_GB2312" w:cs="Times New Roman"/>
          <w:sz w:val="32"/>
          <w:szCs w:val="32"/>
          <w:lang w:val="en-US" w:eastAsia="zh-CN"/>
        </w:rPr>
        <w:t>紧扣坚定不移推进新型工业化，实现</w:t>
      </w:r>
      <w:r>
        <w:rPr>
          <w:rFonts w:hint="default" w:ascii="Times New Roman" w:hAnsi="Times New Roman" w:eastAsia="仿宋_GB2312" w:cs="Times New Roman"/>
          <w:sz w:val="32"/>
          <w:szCs w:val="32"/>
        </w:rPr>
        <w:t>“</w:t>
      </w:r>
      <w:bookmarkStart w:id="0" w:name="OLE_LINK7"/>
      <w:r>
        <w:rPr>
          <w:rFonts w:hint="default" w:ascii="Times New Roman" w:hAnsi="Times New Roman" w:eastAsia="方正楷体_GBK" w:cs="Times New Roman"/>
          <w:b/>
          <w:bCs/>
          <w:sz w:val="32"/>
          <w:szCs w:val="32"/>
        </w:rPr>
        <w:t>主要经济指标走在全市前列实现新作为、重大项目加快推进取得新突破、产业招商集聚开创新局面</w:t>
      </w:r>
      <w:bookmarkEnd w:id="0"/>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市级要求，</w:t>
      </w:r>
      <w:r>
        <w:rPr>
          <w:rFonts w:hint="default" w:ascii="Times New Roman" w:hAnsi="Times New Roman" w:eastAsia="仿宋_GB2312" w:cs="Times New Roman"/>
          <w:sz w:val="32"/>
          <w:szCs w:val="32"/>
        </w:rPr>
        <w:t>全面完成全年经济社会发展目标</w:t>
      </w:r>
      <w:r>
        <w:rPr>
          <w:rFonts w:hint="default" w:ascii="Times New Roman" w:hAnsi="Times New Roman" w:eastAsia="仿宋_GB2312" w:cs="Times New Roman"/>
          <w:sz w:val="32"/>
          <w:szCs w:val="32"/>
          <w:lang w:val="en-US" w:eastAsia="zh-CN"/>
        </w:rPr>
        <w:t>任务</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经党工委、管委会研究决定，</w:t>
      </w:r>
      <w:r>
        <w:rPr>
          <w:rFonts w:hint="default" w:ascii="Times New Roman" w:hAnsi="Times New Roman" w:eastAsia="仿宋_GB2312" w:cs="Times New Roman"/>
          <w:sz w:val="32"/>
          <w:szCs w:val="32"/>
          <w:lang w:val="en-US" w:eastAsia="zh-CN"/>
        </w:rPr>
        <w:t>在2025年</w:t>
      </w:r>
      <w:r>
        <w:rPr>
          <w:rFonts w:hint="default" w:ascii="Times New Roman" w:hAnsi="Times New Roman" w:eastAsia="仿宋_GB2312" w:cs="Times New Roman"/>
          <w:sz w:val="32"/>
          <w:szCs w:val="32"/>
        </w:rPr>
        <w:t>开展“</w:t>
      </w:r>
      <w:r>
        <w:rPr>
          <w:rFonts w:hint="default" w:ascii="Times New Roman" w:hAnsi="Times New Roman" w:eastAsia="仿宋_GB2312" w:cs="Times New Roman"/>
          <w:sz w:val="32"/>
          <w:szCs w:val="32"/>
          <w:lang w:val="en-US" w:eastAsia="zh-CN"/>
        </w:rPr>
        <w:t>园区转型升级攻坚年</w:t>
      </w:r>
      <w:r>
        <w:rPr>
          <w:rFonts w:hint="default" w:ascii="Times New Roman" w:hAnsi="Times New Roman" w:eastAsia="仿宋_GB2312" w:cs="Times New Roman"/>
          <w:sz w:val="32"/>
          <w:szCs w:val="32"/>
        </w:rPr>
        <w:t>”活动</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特</w:t>
      </w:r>
      <w:r>
        <w:rPr>
          <w:rFonts w:hint="default" w:ascii="Times New Roman" w:hAnsi="Times New Roman" w:eastAsia="仿宋_GB2312" w:cs="Times New Roman"/>
          <w:sz w:val="32"/>
          <w:szCs w:val="32"/>
        </w:rPr>
        <w:t>制定以下实施方案。</w:t>
      </w:r>
    </w:p>
    <w:p w14:paraId="11B271A5">
      <w:pPr>
        <w:keepNext w:val="0"/>
        <w:keepLines w:val="0"/>
        <w:pageBreakBefore w:val="0"/>
        <w:widowControl w:val="0"/>
        <w:kinsoku/>
        <w:wordWrap/>
        <w:overflowPunct/>
        <w:topLinePunct w:val="0"/>
        <w:bidi w:val="0"/>
        <w:adjustRightInd/>
        <w:snapToGrid/>
        <w:spacing w:line="57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一、总体要求</w:t>
      </w:r>
    </w:p>
    <w:p w14:paraId="21622167">
      <w:pPr>
        <w:keepNext w:val="0"/>
        <w:keepLines w:val="0"/>
        <w:pageBreakBefore w:val="0"/>
        <w:widowControl w:val="0"/>
        <w:kinsoku/>
        <w:wordWrap/>
        <w:overflowPunct/>
        <w:topLinePunct w:val="0"/>
        <w:bidi w:val="0"/>
        <w:adjustRightInd/>
        <w:snapToGrid/>
        <w:spacing w:line="570" w:lineRule="exact"/>
        <w:ind w:firstLine="640" w:firstLineChars="200"/>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坚持以习近平新时代中国特色社会主义思想为指导，全面贯彻党的二十大、二十届二中、三中全会和中央经济工作会议精神，深入落实习近平总书记考察安徽重要讲话精神，贯彻落实省委十一届七次、八次全会和九次全会暨经济工作会议精神，按照市委七届七次、八次全会和经济工作会议部署要求，按照市</w:t>
      </w:r>
      <w:r>
        <w:rPr>
          <w:rFonts w:hint="default" w:ascii="Times New Roman" w:hAnsi="Times New Roman" w:eastAsia="仿宋_GB2312" w:cs="Times New Roman"/>
          <w:bCs/>
          <w:sz w:val="32"/>
          <w:szCs w:val="32"/>
          <w:lang w:eastAsia="zh-CN"/>
        </w:rPr>
        <w:t>两会</w:t>
      </w:r>
      <w:r>
        <w:rPr>
          <w:rFonts w:hint="default" w:ascii="Times New Roman" w:hAnsi="Times New Roman" w:eastAsia="仿宋_GB2312" w:cs="Times New Roman"/>
          <w:bCs/>
          <w:sz w:val="32"/>
          <w:szCs w:val="32"/>
        </w:rPr>
        <w:t>决策部署，坚持稳中求进工作总基调，完整准确全面贯彻新发展理念，充分发挥园区产业集聚优势，加快构建新发展格局，牢牢把握高质量发展这个根本要求，全力以赴在工业经济发展、重点项目攻坚等方面持续发力</w:t>
      </w:r>
      <w:r>
        <w:rPr>
          <w:rFonts w:hint="default" w:ascii="Times New Roman" w:hAnsi="Times New Roman" w:eastAsia="仿宋_GB2312" w:cs="Times New Roman"/>
          <w:bCs/>
          <w:sz w:val="32"/>
          <w:szCs w:val="32"/>
          <w:lang w:eastAsia="zh-CN"/>
        </w:rPr>
        <w:t>，</w:t>
      </w:r>
      <w:r>
        <w:rPr>
          <w:rFonts w:hint="default" w:ascii="Times New Roman" w:hAnsi="Times New Roman" w:eastAsia="仿宋_GB2312" w:cs="Times New Roman"/>
          <w:bCs/>
          <w:sz w:val="32"/>
          <w:szCs w:val="32"/>
        </w:rPr>
        <w:t>努力完成市委、市政府交给高新区目标任务，锚定高质量发展不动摇，解放思想，开拓创新，争先进位，担当实干，奋力在“三地一区”“三个新的更大进展”上展现高新区更大作为，</w:t>
      </w:r>
      <w:r>
        <w:rPr>
          <w:rFonts w:hint="default" w:ascii="Times New Roman" w:hAnsi="Times New Roman" w:eastAsia="仿宋_GB2312" w:cs="Times New Roman"/>
          <w:bCs/>
          <w:sz w:val="32"/>
          <w:szCs w:val="32"/>
          <w:lang w:val="en-US" w:eastAsia="zh-CN"/>
        </w:rPr>
        <w:t>奋力</w:t>
      </w:r>
      <w:r>
        <w:rPr>
          <w:rFonts w:hint="default" w:ascii="Times New Roman" w:hAnsi="Times New Roman" w:eastAsia="仿宋_GB2312" w:cs="Times New Roman"/>
          <w:bCs/>
          <w:sz w:val="32"/>
          <w:szCs w:val="32"/>
        </w:rPr>
        <w:t>开创园区高质量发展新局面，加快成为全市重要经济增长极，为全市经济发展作出新的更大贡献。</w:t>
      </w:r>
    </w:p>
    <w:p w14:paraId="1B1B2E5D">
      <w:pPr>
        <w:keepNext w:val="0"/>
        <w:keepLines w:val="0"/>
        <w:pageBreakBefore w:val="0"/>
        <w:widowControl w:val="0"/>
        <w:kinsoku/>
        <w:wordWrap/>
        <w:overflowPunct/>
        <w:topLinePunct w:val="0"/>
        <w:bidi w:val="0"/>
        <w:adjustRightInd/>
        <w:snapToGrid/>
        <w:spacing w:line="57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二、主要任务</w:t>
      </w:r>
    </w:p>
    <w:p w14:paraId="5E4A9702">
      <w:pPr>
        <w:keepNext w:val="0"/>
        <w:keepLines w:val="0"/>
        <w:pageBreakBefore w:val="0"/>
        <w:widowControl w:val="0"/>
        <w:kinsoku/>
        <w:wordWrap/>
        <w:overflowPunct/>
        <w:topLinePunct w:val="0"/>
        <w:bidi w:val="0"/>
        <w:adjustRightInd/>
        <w:snapToGrid/>
        <w:spacing w:line="570" w:lineRule="exact"/>
        <w:ind w:firstLine="640" w:firstLineChars="200"/>
        <w:textAlignment w:val="auto"/>
        <w:rPr>
          <w:rFonts w:hint="default" w:ascii="Times New Roman" w:hAnsi="Times New Roman" w:eastAsia="仿宋_GB2312" w:cs="Times New Roman"/>
          <w:bCs/>
          <w:sz w:val="32"/>
          <w:szCs w:val="32"/>
          <w:lang w:eastAsia="zh-CN"/>
        </w:rPr>
      </w:pPr>
      <w:bookmarkStart w:id="1" w:name="OLE_LINK4"/>
      <w:bookmarkStart w:id="2" w:name="OLE_LINK1"/>
      <w:r>
        <w:rPr>
          <w:rFonts w:hint="default" w:ascii="Times New Roman" w:hAnsi="Times New Roman" w:eastAsia="仿宋_GB2312" w:cs="Times New Roman"/>
          <w:bCs/>
          <w:sz w:val="32"/>
          <w:szCs w:val="32"/>
          <w:lang w:val="en-US" w:eastAsia="zh-CN"/>
        </w:rPr>
        <w:t>黄山高新区2025年实施“1227”工程，即实现主要经济指标“</w:t>
      </w:r>
      <w:r>
        <w:rPr>
          <w:rFonts w:hint="default" w:ascii="Times New Roman" w:hAnsi="Times New Roman" w:eastAsia="方正黑体_GBK" w:cs="Times New Roman"/>
          <w:color w:val="auto"/>
          <w:kern w:val="2"/>
          <w:sz w:val="32"/>
          <w:szCs w:val="32"/>
          <w:lang w:val="en-US" w:eastAsia="zh-CN" w:bidi="ar-SA"/>
        </w:rPr>
        <w:t>全年经营收入同比增长</w:t>
      </w:r>
      <w:r>
        <w:rPr>
          <w:rFonts w:hint="default" w:ascii="Times New Roman" w:hAnsi="Times New Roman" w:eastAsia="方正黑体_GBK" w:cs="Times New Roman"/>
          <w:b/>
          <w:bCs/>
          <w:i w:val="0"/>
          <w:iCs w:val="0"/>
          <w:color w:val="auto"/>
          <w:kern w:val="2"/>
          <w:sz w:val="32"/>
          <w:szCs w:val="32"/>
          <w:lang w:val="en-US" w:eastAsia="zh-CN" w:bidi="ar-SA"/>
        </w:rPr>
        <w:t>10%</w:t>
      </w:r>
      <w:r>
        <w:rPr>
          <w:rFonts w:hint="default" w:ascii="Times New Roman" w:hAnsi="Times New Roman" w:eastAsia="方正黑体_GBK" w:cs="Times New Roman"/>
          <w:color w:val="auto"/>
          <w:kern w:val="2"/>
          <w:sz w:val="32"/>
          <w:szCs w:val="32"/>
          <w:lang w:val="en-US" w:eastAsia="zh-CN" w:bidi="ar-SA"/>
        </w:rPr>
        <w:t>，力争规上工业总产值同比增长</w:t>
      </w:r>
      <w:r>
        <w:rPr>
          <w:rFonts w:hint="default" w:ascii="Times New Roman" w:hAnsi="Times New Roman" w:eastAsia="方正黑体_GBK" w:cs="Times New Roman"/>
          <w:b/>
          <w:bCs/>
          <w:i w:val="0"/>
          <w:iCs w:val="0"/>
          <w:color w:val="auto"/>
          <w:kern w:val="2"/>
          <w:sz w:val="32"/>
          <w:szCs w:val="32"/>
          <w:lang w:val="en-US" w:eastAsia="zh-CN" w:bidi="ar-SA"/>
        </w:rPr>
        <w:t>20%</w:t>
      </w:r>
      <w:r>
        <w:rPr>
          <w:rFonts w:hint="default" w:ascii="Times New Roman" w:hAnsi="Times New Roman" w:eastAsia="方正黑体_GBK" w:cs="Times New Roman"/>
          <w:color w:val="auto"/>
          <w:kern w:val="2"/>
          <w:sz w:val="32"/>
          <w:szCs w:val="32"/>
          <w:lang w:val="en-US" w:eastAsia="zh-CN" w:bidi="ar-SA"/>
        </w:rPr>
        <w:t>，固定资产投资同比增长</w:t>
      </w:r>
      <w:r>
        <w:rPr>
          <w:rFonts w:hint="default" w:ascii="Times New Roman" w:hAnsi="Times New Roman" w:eastAsia="方正黑体_GBK" w:cs="Times New Roman"/>
          <w:b/>
          <w:bCs/>
          <w:i w:val="0"/>
          <w:iCs w:val="0"/>
          <w:color w:val="auto"/>
          <w:kern w:val="2"/>
          <w:sz w:val="32"/>
          <w:szCs w:val="32"/>
          <w:lang w:val="en-US" w:eastAsia="zh-CN" w:bidi="ar-SA"/>
        </w:rPr>
        <w:t>20%</w:t>
      </w:r>
      <w:r>
        <w:rPr>
          <w:rFonts w:hint="default" w:ascii="Times New Roman" w:hAnsi="Times New Roman" w:eastAsia="仿宋_GB2312" w:cs="Times New Roman"/>
          <w:bCs/>
          <w:sz w:val="32"/>
          <w:szCs w:val="32"/>
          <w:lang w:val="en-US" w:eastAsia="zh-CN"/>
        </w:rPr>
        <w:t>”的目标任务，围绕“</w:t>
      </w:r>
      <w:r>
        <w:rPr>
          <w:rFonts w:hint="default" w:ascii="Times New Roman" w:hAnsi="Times New Roman" w:eastAsia="方正楷体_GBK" w:cs="Times New Roman"/>
          <w:b/>
          <w:bCs/>
          <w:color w:val="auto"/>
          <w:kern w:val="2"/>
          <w:sz w:val="32"/>
          <w:szCs w:val="32"/>
          <w:lang w:val="en-US" w:eastAsia="zh-CN" w:bidi="ar-SA"/>
        </w:rPr>
        <w:t>科技创新提能级、项目推进蓄活力、‘双招双引’增动能、要素保障强承载、税源培育优质量、平安园区筑底板、党的建设聚发展</w:t>
      </w:r>
      <w:r>
        <w:rPr>
          <w:rFonts w:hint="default" w:ascii="Times New Roman" w:hAnsi="Times New Roman" w:eastAsia="仿宋_GB2312" w:cs="Times New Roman"/>
          <w:bCs/>
          <w:sz w:val="32"/>
          <w:szCs w:val="32"/>
          <w:lang w:val="en-US" w:eastAsia="zh-CN"/>
        </w:rPr>
        <w:t>”等</w:t>
      </w:r>
      <w:r>
        <w:rPr>
          <w:rFonts w:hint="default" w:ascii="Times New Roman" w:hAnsi="Times New Roman" w:eastAsia="仿宋_GB2312" w:cs="Times New Roman"/>
          <w:b/>
          <w:bCs w:val="0"/>
          <w:sz w:val="32"/>
          <w:szCs w:val="32"/>
          <w:lang w:val="en-US" w:eastAsia="zh-CN"/>
        </w:rPr>
        <w:t>7</w:t>
      </w:r>
      <w:r>
        <w:rPr>
          <w:rFonts w:hint="default" w:ascii="Times New Roman" w:hAnsi="Times New Roman" w:eastAsia="仿宋_GB2312" w:cs="Times New Roman"/>
          <w:bCs/>
          <w:sz w:val="32"/>
          <w:szCs w:val="32"/>
          <w:lang w:val="en-US" w:eastAsia="zh-CN"/>
        </w:rPr>
        <w:t>项</w:t>
      </w:r>
      <w:r>
        <w:rPr>
          <w:rFonts w:hint="default" w:ascii="Times New Roman" w:hAnsi="Times New Roman" w:eastAsia="仿宋_GB2312" w:cs="Times New Roman"/>
          <w:bCs/>
          <w:sz w:val="32"/>
          <w:szCs w:val="32"/>
        </w:rPr>
        <w:t>重点</w:t>
      </w:r>
      <w:r>
        <w:rPr>
          <w:rFonts w:hint="default" w:ascii="Times New Roman" w:hAnsi="Times New Roman" w:eastAsia="仿宋_GB2312" w:cs="Times New Roman"/>
          <w:bCs/>
          <w:sz w:val="32"/>
          <w:szCs w:val="32"/>
          <w:lang w:val="en-US" w:eastAsia="zh-CN"/>
        </w:rPr>
        <w:t>工作上</w:t>
      </w:r>
      <w:bookmarkEnd w:id="1"/>
      <w:r>
        <w:rPr>
          <w:rFonts w:hint="default" w:ascii="Times New Roman" w:hAnsi="Times New Roman" w:eastAsia="仿宋_GB2312" w:cs="Times New Roman"/>
          <w:bCs/>
          <w:sz w:val="32"/>
          <w:szCs w:val="32"/>
          <w:lang w:val="en-US" w:eastAsia="zh-CN"/>
        </w:rPr>
        <w:t>，争先进位，力求突破</w:t>
      </w:r>
      <w:r>
        <w:rPr>
          <w:rFonts w:hint="default" w:ascii="Times New Roman" w:hAnsi="Times New Roman" w:eastAsia="仿宋_GB2312" w:cs="Times New Roman"/>
          <w:bCs/>
          <w:sz w:val="32"/>
          <w:szCs w:val="32"/>
          <w:lang w:eastAsia="zh-CN"/>
        </w:rPr>
        <w:t>。</w:t>
      </w:r>
    </w:p>
    <w:bookmarkEnd w:id="2"/>
    <w:p w14:paraId="719BCC43">
      <w:pPr>
        <w:keepNext w:val="0"/>
        <w:keepLines w:val="0"/>
        <w:pageBreakBefore w:val="0"/>
        <w:widowControl w:val="0"/>
        <w:kinsoku/>
        <w:wordWrap/>
        <w:overflowPunct/>
        <w:topLinePunct w:val="0"/>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Cs/>
          <w:sz w:val="32"/>
          <w:szCs w:val="32"/>
        </w:rPr>
        <w:t>各级各部门</w:t>
      </w:r>
      <w:r>
        <w:rPr>
          <w:rFonts w:hint="default" w:ascii="Times New Roman" w:hAnsi="Times New Roman" w:eastAsia="仿宋_GB2312" w:cs="Times New Roman"/>
          <w:bCs/>
          <w:sz w:val="32"/>
          <w:szCs w:val="32"/>
          <w:lang w:val="en-US" w:eastAsia="zh-CN"/>
        </w:rPr>
        <w:t>要</w:t>
      </w:r>
      <w:bookmarkStart w:id="3" w:name="OLE_LINK8"/>
      <w:r>
        <w:rPr>
          <w:rFonts w:hint="default" w:ascii="Times New Roman" w:hAnsi="Times New Roman" w:eastAsia="仿宋_GB2312" w:cs="Times New Roman"/>
          <w:bCs/>
          <w:sz w:val="32"/>
          <w:szCs w:val="32"/>
          <w:lang w:val="en-US" w:eastAsia="zh-CN"/>
        </w:rPr>
        <w:t>以“比发展、讲奉献、重实干”为主题推进作风建设，</w:t>
      </w:r>
      <w:bookmarkEnd w:id="3"/>
      <w:r>
        <w:rPr>
          <w:rFonts w:hint="default" w:ascii="Times New Roman" w:hAnsi="Times New Roman" w:eastAsia="仿宋_GB2312" w:cs="Times New Roman"/>
          <w:bCs/>
          <w:sz w:val="32"/>
          <w:szCs w:val="32"/>
          <w:lang w:val="en-US" w:eastAsia="zh-CN"/>
        </w:rPr>
        <w:t>围绕“1227”工程，</w:t>
      </w:r>
      <w:r>
        <w:rPr>
          <w:rFonts w:hint="default" w:ascii="Times New Roman" w:hAnsi="Times New Roman" w:eastAsia="仿宋_GB2312" w:cs="Times New Roman"/>
          <w:bCs/>
          <w:sz w:val="32"/>
          <w:szCs w:val="32"/>
        </w:rPr>
        <w:t>坚持重点突破、全面推进，压紧压实工作责任</w:t>
      </w:r>
      <w:r>
        <w:rPr>
          <w:rFonts w:hint="default" w:ascii="Times New Roman" w:hAnsi="Times New Roman" w:eastAsia="仿宋_GB2312" w:cs="Times New Roman"/>
          <w:bCs/>
          <w:sz w:val="32"/>
          <w:szCs w:val="32"/>
          <w:lang w:eastAsia="zh-CN"/>
        </w:rPr>
        <w:t>，</w:t>
      </w:r>
      <w:r>
        <w:rPr>
          <w:rFonts w:hint="default" w:ascii="Times New Roman" w:hAnsi="Times New Roman" w:eastAsia="仿宋_GB2312" w:cs="Times New Roman"/>
          <w:bCs/>
          <w:sz w:val="32"/>
          <w:szCs w:val="32"/>
        </w:rPr>
        <w:t>坚持</w:t>
      </w:r>
      <w:r>
        <w:rPr>
          <w:rFonts w:hint="default" w:ascii="Times New Roman" w:hAnsi="Times New Roman" w:eastAsia="仿宋_GB2312" w:cs="Times New Roman"/>
          <w:bCs/>
          <w:sz w:val="32"/>
          <w:szCs w:val="32"/>
          <w:lang w:eastAsia="zh-CN"/>
        </w:rPr>
        <w:t>“</w:t>
      </w:r>
      <w:r>
        <w:rPr>
          <w:rFonts w:hint="default" w:ascii="Times New Roman" w:hAnsi="Times New Roman" w:eastAsia="仿宋_GB2312" w:cs="Times New Roman"/>
          <w:bCs/>
          <w:sz w:val="32"/>
          <w:szCs w:val="32"/>
        </w:rPr>
        <w:t>工作项目化、项目清单化、清单责任化</w:t>
      </w:r>
      <w:r>
        <w:rPr>
          <w:rFonts w:hint="default" w:ascii="Times New Roman" w:hAnsi="Times New Roman" w:eastAsia="仿宋_GB2312" w:cs="Times New Roman"/>
          <w:bCs/>
          <w:sz w:val="32"/>
          <w:szCs w:val="32"/>
          <w:lang w:eastAsia="zh-CN"/>
        </w:rPr>
        <w:t>”</w:t>
      </w:r>
      <w:r>
        <w:rPr>
          <w:rFonts w:hint="default" w:ascii="Times New Roman" w:hAnsi="Times New Roman" w:eastAsia="仿宋_GB2312" w:cs="Times New Roman"/>
          <w:bCs/>
          <w:sz w:val="32"/>
          <w:szCs w:val="32"/>
        </w:rPr>
        <w:t>，紧紧抓住关键环节，通过抓住“牛鼻子”来激活“新引擎”</w:t>
      </w:r>
      <w:r>
        <w:rPr>
          <w:rFonts w:hint="default" w:ascii="Times New Roman" w:hAnsi="Times New Roman" w:eastAsia="仿宋_GB2312" w:cs="Times New Roman"/>
          <w:bCs/>
          <w:sz w:val="32"/>
          <w:szCs w:val="32"/>
          <w:lang w:eastAsia="zh-CN"/>
        </w:rPr>
        <w:t>，</w:t>
      </w:r>
      <w:r>
        <w:rPr>
          <w:rFonts w:hint="default" w:ascii="Times New Roman" w:hAnsi="Times New Roman" w:eastAsia="仿宋_GB2312" w:cs="Times New Roman"/>
          <w:bCs/>
          <w:sz w:val="32"/>
          <w:szCs w:val="32"/>
        </w:rPr>
        <w:t>不断提升谋的能力，突出“园区转型升级攻坚年”的主线，树牢实绩实效的导向，切实把顶格追求转化为顶格行动，把积蓄的势能加快转化为发展的实物量、新增量，全力塑优势、提能级、增效能。</w:t>
      </w:r>
    </w:p>
    <w:p w14:paraId="3425C591">
      <w:pPr>
        <w:pStyle w:val="13"/>
        <w:keepNext w:val="0"/>
        <w:keepLines w:val="0"/>
        <w:pageBreakBefore w:val="0"/>
        <w:widowControl w:val="0"/>
        <w:numPr>
          <w:ilvl w:val="0"/>
          <w:numId w:val="0"/>
        </w:numPr>
        <w:kinsoku/>
        <w:wordWrap/>
        <w:overflowPunct/>
        <w:topLinePunct w:val="0"/>
        <w:bidi w:val="0"/>
        <w:adjustRightInd/>
        <w:snapToGrid/>
        <w:spacing w:line="570" w:lineRule="exact"/>
        <w:ind w:firstLine="643" w:firstLineChars="200"/>
        <w:jc w:val="both"/>
        <w:textAlignment w:val="auto"/>
        <w:rPr>
          <w:rFonts w:hint="default" w:ascii="Times New Roman" w:hAnsi="Times New Roman" w:eastAsia="仿宋_GB2312" w:cs="Times New Roman"/>
          <w:sz w:val="32"/>
          <w:szCs w:val="32"/>
          <w:lang w:val="en-US" w:eastAsia="zh-CN"/>
        </w:rPr>
      </w:pPr>
      <w:bookmarkStart w:id="4" w:name="_Hlk61551765"/>
      <w:r>
        <w:rPr>
          <w:rFonts w:hint="default" w:ascii="Times New Roman" w:hAnsi="Times New Roman" w:eastAsia="方正楷体_GBK" w:cs="Times New Roman"/>
          <w:b/>
          <w:bCs/>
          <w:kern w:val="2"/>
          <w:sz w:val="32"/>
          <w:szCs w:val="32"/>
          <w:lang w:val="en-US" w:eastAsia="zh-CN" w:bidi="ar-SA"/>
        </w:rPr>
        <w:t>（一）</w:t>
      </w:r>
      <w:bookmarkStart w:id="5" w:name="OLE_LINK2"/>
      <w:r>
        <w:rPr>
          <w:rFonts w:hint="default" w:ascii="Times New Roman" w:hAnsi="Times New Roman" w:eastAsia="方正楷体_GBK" w:cs="Times New Roman"/>
          <w:b/>
          <w:bCs/>
          <w:kern w:val="2"/>
          <w:sz w:val="32"/>
          <w:szCs w:val="32"/>
          <w:lang w:val="en-US" w:eastAsia="zh-CN" w:bidi="ar-SA"/>
        </w:rPr>
        <w:t>“科技创新提能级”攻坚工程</w:t>
      </w:r>
      <w:bookmarkEnd w:id="4"/>
      <w:r>
        <w:rPr>
          <w:rFonts w:hint="default" w:ascii="Times New Roman" w:hAnsi="Times New Roman" w:eastAsia="方正楷体_GBK" w:cs="Times New Roman"/>
          <w:b/>
          <w:bCs/>
          <w:kern w:val="2"/>
          <w:sz w:val="32"/>
          <w:szCs w:val="32"/>
          <w:lang w:val="en-US" w:eastAsia="zh-CN" w:bidi="ar-SA"/>
        </w:rPr>
        <w:t>。</w:t>
      </w:r>
      <w:r>
        <w:rPr>
          <w:rFonts w:hint="default" w:ascii="Times New Roman" w:hAnsi="Times New Roman" w:eastAsia="仿宋_GB2312" w:cs="Times New Roman"/>
          <w:b w:val="0"/>
          <w:bCs w:val="0"/>
          <w:color w:val="auto"/>
          <w:kern w:val="2"/>
          <w:sz w:val="32"/>
          <w:szCs w:val="32"/>
          <w:lang w:val="en-US" w:eastAsia="zh-CN" w:bidi="ar-SA"/>
        </w:rPr>
        <w:t>力争全年规上工业总产值同比增长20%；工业投资、技改投资均同比增长20%以上；力争新增规模以上工业企业10家，新增高新技术企业8家；</w:t>
      </w:r>
      <w:r>
        <w:rPr>
          <w:rFonts w:hint="default" w:ascii="Times New Roman" w:hAnsi="Times New Roman" w:eastAsia="方正仿宋_GB2312" w:cs="Times New Roman"/>
          <w:b/>
          <w:bCs/>
          <w:sz w:val="32"/>
          <w:szCs w:val="32"/>
          <w:highlight w:val="none"/>
          <w:lang w:val="en-US" w:eastAsia="zh-CN"/>
        </w:rPr>
        <w:t>一是以增强创新动能提质量。</w:t>
      </w:r>
      <w:r>
        <w:rPr>
          <w:rFonts w:hint="default" w:ascii="Times New Roman" w:hAnsi="Times New Roman" w:eastAsia="仿宋_GB2312" w:cs="Times New Roman"/>
          <w:sz w:val="32"/>
          <w:szCs w:val="32"/>
          <w:highlight w:val="none"/>
          <w:lang w:val="en-US" w:eastAsia="zh-CN"/>
        </w:rPr>
        <w:t>推动“四链”深度融合，鼓励企业通过与高校开展产学研合作，联合实施关键技术攻关，力争实现规上工业研发经费投入增长10%</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支持黄山未来科技城争创省级顶尖孵化器，实现“种子”发现、企业育成、平台服务、投资促进、资源融通五大功能全链条服务。按照“分类指导、分级培育、重点突破”原则，支持企业深耕细分领域。力争全年实现培育国家级专精特新“小巨人”企业和省级专精特新中小企业5家，新增省级智能工厂或数字化车间2家，新增国家级或省级绿色工厂1家。</w:t>
      </w:r>
      <w:r>
        <w:rPr>
          <w:rFonts w:hint="default" w:ascii="Times New Roman" w:hAnsi="Times New Roman" w:eastAsia="方正仿宋_GB2312" w:cs="Times New Roman"/>
          <w:b/>
          <w:bCs/>
          <w:sz w:val="32"/>
          <w:szCs w:val="32"/>
          <w:highlight w:val="none"/>
          <w:lang w:val="en-US" w:eastAsia="zh-CN"/>
        </w:rPr>
        <w:t>二是以引导规模扩张扩总量。</w:t>
      </w:r>
      <w:r>
        <w:rPr>
          <w:rFonts w:hint="default" w:ascii="Times New Roman" w:hAnsi="Times New Roman" w:eastAsia="仿宋_GB2312" w:cs="Times New Roman"/>
          <w:sz w:val="32"/>
          <w:szCs w:val="32"/>
          <w:highlight w:val="none"/>
          <w:lang w:val="en-US" w:eastAsia="zh-CN"/>
        </w:rPr>
        <w:t>重点推进企业通过项目建设、市场开拓、延链补链等方式实现企业产出水平大幅提升。紧抓产业基本面，全力支持汽车零部件、装备制造通过抢抓市场机遇、加大研发投入实现效能提升，为工业经济发展持续输入动能。多措并举助企开拓海外市场，挖掘企业出口潜力，提升出口增量，力争外贸进出口总额增幅超全市平均增速。</w:t>
      </w:r>
      <w:r>
        <w:rPr>
          <w:rFonts w:hint="default" w:ascii="Times New Roman" w:hAnsi="Times New Roman" w:eastAsia="方正仿宋_GB2312" w:cs="Times New Roman"/>
          <w:b/>
          <w:bCs/>
          <w:sz w:val="32"/>
          <w:szCs w:val="32"/>
          <w:highlight w:val="none"/>
          <w:lang w:val="en-US" w:eastAsia="zh-CN"/>
        </w:rPr>
        <w:t>三是以加强技改投入稳存量。</w:t>
      </w:r>
      <w:r>
        <w:rPr>
          <w:rFonts w:hint="default" w:ascii="Times New Roman" w:hAnsi="Times New Roman" w:eastAsia="仿宋_GB2312" w:cs="Times New Roman"/>
          <w:sz w:val="32"/>
          <w:szCs w:val="32"/>
          <w:highlight w:val="none"/>
          <w:lang w:val="en-US" w:eastAsia="zh-CN"/>
        </w:rPr>
        <w:t>强化“亩均论英雄”评价牵引机制，更加注重投资强度、更加注重亩均效益，让有限资源发挥最大效益。持续</w:t>
      </w:r>
      <w:r>
        <w:rPr>
          <w:rFonts w:hint="default" w:ascii="Times New Roman" w:hAnsi="Times New Roman" w:eastAsia="仿宋_GB2312" w:cs="Times New Roman"/>
          <w:kern w:val="2"/>
          <w:sz w:val="32"/>
          <w:szCs w:val="32"/>
          <w:highlight w:val="none"/>
          <w:lang w:val="en-US" w:eastAsia="zh-CN" w:bidi="ar-SA"/>
        </w:rPr>
        <w:t>引导企业加大技改投入力度。力争全年滚动实施工业技改项目50个</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kern w:val="2"/>
          <w:sz w:val="32"/>
          <w:szCs w:val="32"/>
          <w:highlight w:val="none"/>
          <w:lang w:val="en-US" w:eastAsia="zh-CN" w:bidi="ar-SA"/>
        </w:rPr>
        <w:t>以获批省级数字化示范园区为契机，稳步推进制造业数字化转型，推进“智改数</w:t>
      </w:r>
      <w:r>
        <w:rPr>
          <w:rFonts w:hint="default" w:ascii="Times New Roman" w:hAnsi="Times New Roman" w:eastAsia="仿宋_GB2312" w:cs="Times New Roman"/>
          <w:sz w:val="32"/>
          <w:szCs w:val="32"/>
          <w:highlight w:val="none"/>
          <w:lang w:val="en-US" w:eastAsia="zh-CN"/>
        </w:rPr>
        <w:t>转”释放发展新动能行动，推动规上工业“智改数转”全覆盖，力争累计设备接入工业互联网规模超5500台/套。</w:t>
      </w:r>
      <w:r>
        <w:rPr>
          <w:rFonts w:hint="default" w:ascii="Times New Roman" w:hAnsi="Times New Roman" w:eastAsia="方正仿宋_GB2312" w:cs="Times New Roman"/>
          <w:b/>
          <w:bCs/>
          <w:sz w:val="32"/>
          <w:szCs w:val="32"/>
          <w:highlight w:val="none"/>
          <w:lang w:val="en-US" w:eastAsia="zh-CN"/>
        </w:rPr>
        <w:t>四是以加快产能释放优增量。</w:t>
      </w:r>
      <w:r>
        <w:rPr>
          <w:rFonts w:hint="default" w:ascii="Times New Roman" w:hAnsi="Times New Roman" w:eastAsia="仿宋_GB2312" w:cs="Times New Roman"/>
          <w:sz w:val="32"/>
          <w:szCs w:val="32"/>
          <w:highlight w:val="none"/>
          <w:lang w:val="en-US" w:eastAsia="zh-CN"/>
        </w:rPr>
        <w:t>建立企业培育库，紧盯天目药业、荷琇生物等一批企业年度入规，重点培育日月芯、创融官改车等企业月度入规。重点关注已签约项目落地实施进度和投产时间节点，力争全年规模以上工业企业总数达80家。</w:t>
      </w:r>
    </w:p>
    <w:bookmarkEnd w:id="5"/>
    <w:p w14:paraId="4837A482">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default" w:ascii="Times New Roman" w:hAnsi="Times New Roman" w:eastAsia="仿宋_GB2312" w:cs="Times New Roman"/>
          <w:kern w:val="2"/>
          <w:sz w:val="32"/>
          <w:szCs w:val="32"/>
          <w:lang w:val="en-US" w:eastAsia="zh-CN" w:bidi="ar"/>
        </w:rPr>
      </w:pPr>
      <w:bookmarkStart w:id="6" w:name="OLE_LINK3"/>
      <w:r>
        <w:rPr>
          <w:rFonts w:hint="default" w:ascii="Times New Roman" w:hAnsi="Times New Roman" w:eastAsia="方正楷体_GBK" w:cs="Times New Roman"/>
          <w:b/>
          <w:bCs/>
          <w:kern w:val="2"/>
          <w:sz w:val="32"/>
          <w:szCs w:val="32"/>
          <w:lang w:val="en-US" w:eastAsia="zh-CN" w:bidi="ar-SA"/>
        </w:rPr>
        <w:t>（二）“项目推进蓄活力”攻坚工程。</w:t>
      </w:r>
      <w:r>
        <w:rPr>
          <w:rFonts w:hint="default" w:ascii="Times New Roman" w:hAnsi="Times New Roman" w:eastAsia="仿宋_GB2312" w:cs="Times New Roman"/>
          <w:kern w:val="2"/>
          <w:sz w:val="32"/>
          <w:szCs w:val="32"/>
          <w:lang w:val="en-US" w:eastAsia="zh-CN" w:bidi="ar-SA"/>
        </w:rPr>
        <w:t>力争全年新开工市重点项目25个、新竣工市重点项目15个，全年完成固定资产投资同比增长20%以上。</w:t>
      </w:r>
      <w:r>
        <w:rPr>
          <w:rFonts w:hint="default" w:ascii="Times New Roman" w:hAnsi="Times New Roman" w:eastAsia="方正仿宋_GB2312" w:cs="Times New Roman"/>
          <w:b/>
          <w:bCs/>
          <w:kern w:val="2"/>
          <w:sz w:val="32"/>
          <w:szCs w:val="32"/>
          <w:highlight w:val="none"/>
          <w:lang w:val="en-US" w:eastAsia="zh-CN" w:bidi="ar-SA"/>
        </w:rPr>
        <w:t>一是抓好落地项目开工建设。</w:t>
      </w:r>
      <w:r>
        <w:rPr>
          <w:rFonts w:hint="default" w:ascii="Times New Roman" w:hAnsi="Times New Roman" w:eastAsia="仿宋_GB2312" w:cs="Times New Roman"/>
          <w:kern w:val="2"/>
          <w:sz w:val="32"/>
          <w:szCs w:val="32"/>
          <w:lang w:val="en-US" w:eastAsia="zh-CN" w:bidi="ar"/>
        </w:rPr>
        <w:t>对照</w:t>
      </w:r>
      <w:r>
        <w:rPr>
          <w:rFonts w:hint="default" w:ascii="Times New Roman" w:hAnsi="Times New Roman" w:eastAsia="仿宋_GB2312" w:cs="Times New Roman"/>
          <w:sz w:val="32"/>
          <w:szCs w:val="32"/>
          <w:lang w:val="en-US" w:eastAsia="zh-CN"/>
        </w:rPr>
        <w:t>项目清单</w:t>
      </w:r>
      <w:r>
        <w:rPr>
          <w:rFonts w:hint="default" w:ascii="Times New Roman" w:hAnsi="Times New Roman" w:eastAsia="仿宋_GB2312" w:cs="Times New Roman"/>
          <w:kern w:val="2"/>
          <w:sz w:val="32"/>
          <w:szCs w:val="32"/>
          <w:lang w:val="en-US" w:eastAsia="zh-CN" w:bidi="ar"/>
        </w:rPr>
        <w:t>，围绕项目规划用地、环评水保、施工许可等流程节点，挂图作战，加强联动，压茬推进前期工作，争取项目快落地、快建设，</w:t>
      </w:r>
      <w:r>
        <w:rPr>
          <w:rFonts w:hint="default" w:ascii="Times New Roman" w:hAnsi="Times New Roman" w:eastAsia="仿宋_GB2312" w:cs="Times New Roman"/>
          <w:color w:val="000000"/>
          <w:kern w:val="2"/>
          <w:sz w:val="32"/>
          <w:szCs w:val="32"/>
          <w:lang w:val="en-US" w:eastAsia="zh-CN" w:bidi="ar"/>
        </w:rPr>
        <w:t>尽可能完成更多实物工作量</w:t>
      </w:r>
      <w:r>
        <w:rPr>
          <w:rFonts w:hint="default" w:ascii="Times New Roman" w:hAnsi="Times New Roman" w:eastAsia="仿宋_GB2312" w:cs="Times New Roman"/>
          <w:kern w:val="2"/>
          <w:sz w:val="32"/>
          <w:szCs w:val="32"/>
          <w:lang w:val="en-US" w:eastAsia="zh-CN" w:bidi="ar"/>
        </w:rPr>
        <w:t>，及时体现有效投资。</w:t>
      </w:r>
      <w:r>
        <w:rPr>
          <w:rFonts w:hint="default" w:ascii="Times New Roman" w:hAnsi="Times New Roman" w:eastAsia="方正仿宋_GB2312" w:cs="Times New Roman"/>
          <w:b/>
          <w:bCs/>
          <w:kern w:val="2"/>
          <w:sz w:val="32"/>
          <w:szCs w:val="32"/>
          <w:highlight w:val="none"/>
          <w:lang w:val="en-US" w:eastAsia="zh-CN" w:bidi="ar-SA"/>
        </w:rPr>
        <w:t>二是抓好在谈项目签约落地。</w:t>
      </w:r>
      <w:r>
        <w:rPr>
          <w:rFonts w:hint="default" w:ascii="Times New Roman" w:hAnsi="Times New Roman" w:eastAsia="仿宋_GB2312" w:cs="Times New Roman"/>
          <w:kern w:val="2"/>
          <w:sz w:val="32"/>
          <w:szCs w:val="32"/>
          <w:lang w:val="en-US" w:eastAsia="zh-CN" w:bidi="ar"/>
        </w:rPr>
        <w:t>聚力“以链引商”、创新“要素招商”、做好“服务亲商”，围绕园区主导产业，积极解决在谈项目土地、厂房、资金等问题，不折不扣抓好项目签约落地，推动更强更优项目落地建设，更快更好发挥效益。</w:t>
      </w:r>
      <w:r>
        <w:rPr>
          <w:rFonts w:hint="default" w:ascii="Times New Roman" w:hAnsi="Times New Roman" w:eastAsia="方正仿宋_GB2312" w:cs="Times New Roman"/>
          <w:b/>
          <w:bCs/>
          <w:kern w:val="2"/>
          <w:sz w:val="32"/>
          <w:szCs w:val="32"/>
          <w:highlight w:val="none"/>
          <w:lang w:val="en-US" w:eastAsia="zh-CN" w:bidi="ar-SA"/>
        </w:rPr>
        <w:t>三是抓好在建项目竣工投产。</w:t>
      </w:r>
      <w:r>
        <w:rPr>
          <w:rFonts w:hint="default" w:ascii="Times New Roman" w:hAnsi="Times New Roman" w:eastAsia="仿宋_GB2312" w:cs="Times New Roman"/>
          <w:kern w:val="2"/>
          <w:sz w:val="32"/>
          <w:szCs w:val="32"/>
          <w:lang w:val="en-US" w:eastAsia="zh-CN" w:bidi="ar"/>
        </w:rPr>
        <w:t>紧盯全年计划竣工投产项目，做到精细化跟踪进度，随时掌握项目建设周期中的难点、痛点，及时协调解决</w:t>
      </w:r>
      <w:r>
        <w:rPr>
          <w:rFonts w:hint="default" w:ascii="Times New Roman" w:hAnsi="Times New Roman" w:eastAsia="仿宋_GB2312" w:cs="Times New Roman"/>
          <w:color w:val="000000"/>
          <w:kern w:val="2"/>
          <w:sz w:val="32"/>
          <w:szCs w:val="32"/>
          <w:lang w:val="en-US" w:eastAsia="zh-CN" w:bidi="ar"/>
        </w:rPr>
        <w:t>，</w:t>
      </w:r>
      <w:r>
        <w:rPr>
          <w:rFonts w:hint="default" w:ascii="Times New Roman" w:hAnsi="Times New Roman" w:eastAsia="仿宋_GB2312" w:cs="Times New Roman"/>
          <w:kern w:val="2"/>
          <w:sz w:val="32"/>
          <w:szCs w:val="32"/>
          <w:lang w:val="en-US" w:eastAsia="zh-CN" w:bidi="ar"/>
        </w:rPr>
        <w:t>确保项目早投产早见效。</w:t>
      </w:r>
      <w:r>
        <w:rPr>
          <w:rFonts w:hint="default" w:ascii="Times New Roman" w:hAnsi="Times New Roman" w:eastAsia="方正仿宋_GB2312" w:cs="Times New Roman"/>
          <w:b/>
          <w:bCs/>
          <w:kern w:val="2"/>
          <w:sz w:val="32"/>
          <w:szCs w:val="32"/>
          <w:highlight w:val="none"/>
          <w:lang w:val="en-US" w:eastAsia="zh-CN" w:bidi="ar-SA"/>
        </w:rPr>
        <w:t>四是抓好争资项目谋划储备。</w:t>
      </w:r>
      <w:r>
        <w:rPr>
          <w:rFonts w:hint="default" w:ascii="Times New Roman" w:hAnsi="Times New Roman" w:eastAsia="仿宋_GB2312" w:cs="Times New Roman"/>
          <w:sz w:val="32"/>
          <w:szCs w:val="32"/>
          <w:lang w:val="en-US" w:eastAsia="zh-CN"/>
        </w:rPr>
        <w:t>紧盯国债、中央预算内和国家一揽子政策，结合园区实际、企业发展，及早谋划一批“十五五”重大项目和</w:t>
      </w:r>
      <w:r>
        <w:rPr>
          <w:rFonts w:hint="default" w:ascii="Times New Roman" w:hAnsi="Times New Roman" w:eastAsia="仿宋_GB2312" w:cs="Times New Roman"/>
          <w:kern w:val="2"/>
          <w:sz w:val="32"/>
          <w:szCs w:val="32"/>
          <w:lang w:val="en-US" w:eastAsia="zh-CN" w:bidi="ar"/>
        </w:rPr>
        <w:t>符合国家鼓励、扶持的关键领域项目</w:t>
      </w:r>
      <w:r>
        <w:rPr>
          <w:rFonts w:hint="default" w:ascii="Times New Roman" w:hAnsi="Times New Roman" w:eastAsia="仿宋_GB2312" w:cs="Times New Roman"/>
          <w:sz w:val="32"/>
          <w:szCs w:val="32"/>
          <w:lang w:val="en-US" w:eastAsia="zh-CN"/>
        </w:rPr>
        <w:t>，加快推进项目可行性研究和前期工作，</w:t>
      </w:r>
      <w:r>
        <w:rPr>
          <w:rFonts w:hint="default" w:ascii="Times New Roman" w:hAnsi="Times New Roman" w:eastAsia="仿宋_GB2312" w:cs="Times New Roman"/>
          <w:kern w:val="2"/>
          <w:sz w:val="32"/>
          <w:szCs w:val="32"/>
          <w:lang w:val="en-US" w:eastAsia="zh-CN" w:bidi="ar"/>
        </w:rPr>
        <w:t>争取更多项目进入国家和省政策资金“盘子”。</w:t>
      </w:r>
    </w:p>
    <w:p w14:paraId="39747D9D">
      <w:pPr>
        <w:keepNext w:val="0"/>
        <w:keepLines w:val="0"/>
        <w:pageBreakBefore w:val="0"/>
        <w:widowControl w:val="0"/>
        <w:kinsoku/>
        <w:wordWrap/>
        <w:overflowPunct w:val="0"/>
        <w:topLinePunct w:val="0"/>
        <w:autoSpaceDE/>
        <w:autoSpaceDN/>
        <w:bidi w:val="0"/>
        <w:adjustRightInd/>
        <w:snapToGrid/>
        <w:spacing w:line="570" w:lineRule="exact"/>
        <w:ind w:firstLine="643"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方正楷体_GBK" w:cs="Times New Roman"/>
          <w:b/>
          <w:bCs/>
          <w:kern w:val="2"/>
          <w:sz w:val="32"/>
          <w:szCs w:val="32"/>
          <w:lang w:val="en-US" w:eastAsia="zh-CN" w:bidi="ar-SA"/>
        </w:rPr>
        <w:t>（三）“双招双引增动能”攻坚工程。</w:t>
      </w:r>
      <w:bookmarkStart w:id="7" w:name="OLE_LINK5"/>
      <w:r>
        <w:rPr>
          <w:rFonts w:hint="default" w:ascii="Times New Roman" w:hAnsi="Times New Roman" w:eastAsia="仿宋_GB2312" w:cs="Times New Roman"/>
          <w:sz w:val="32"/>
          <w:szCs w:val="32"/>
          <w:lang w:val="en-US" w:eastAsia="zh-CN"/>
        </w:rPr>
        <w:t>力争全年新签招商项目数、新签招商项目总投资额、全年招商到位资金均同比增长15%。</w:t>
      </w:r>
      <w:bookmarkEnd w:id="7"/>
      <w:r>
        <w:rPr>
          <w:rFonts w:hint="default" w:ascii="Times New Roman" w:hAnsi="Times New Roman" w:eastAsia="方正仿宋_GB2312" w:cs="Times New Roman"/>
          <w:b/>
          <w:bCs/>
          <w:kern w:val="2"/>
          <w:sz w:val="32"/>
          <w:szCs w:val="32"/>
          <w:highlight w:val="none"/>
          <w:lang w:val="en-US" w:eastAsia="zh-CN" w:bidi="ar-SA"/>
        </w:rPr>
        <w:t>一是只争朝夕持续招引一批。</w:t>
      </w:r>
      <w:r>
        <w:rPr>
          <w:rFonts w:hint="default" w:ascii="Times New Roman" w:hAnsi="Times New Roman" w:eastAsia="仿宋_GB2312" w:cs="Times New Roman"/>
          <w:b w:val="0"/>
          <w:bCs w:val="0"/>
          <w:sz w:val="32"/>
          <w:szCs w:val="32"/>
          <w:highlight w:val="none"/>
          <w:lang w:val="en-US" w:eastAsia="zh-CN"/>
        </w:rPr>
        <w:t>围绕汽车零部件等新兴产业，开展链式招商，加快打造新能源汽车零部件产业链，围绕光洋股份等“链主型”企业，着力引进上下游配套产业项目。围绕德恒汽车白车身、辅易航等德恒系汽车零配件项目，形成产业集聚，着力打造总投资10亿元的汽车零部件超级工厂。</w:t>
      </w:r>
      <w:r>
        <w:rPr>
          <w:rFonts w:hint="default" w:ascii="Times New Roman" w:hAnsi="Times New Roman" w:eastAsia="方正仿宋_GB2312" w:cs="Times New Roman"/>
          <w:b/>
          <w:bCs/>
          <w:kern w:val="2"/>
          <w:sz w:val="32"/>
          <w:szCs w:val="32"/>
          <w:highlight w:val="none"/>
          <w:lang w:val="en-US" w:eastAsia="zh-CN" w:bidi="ar-SA"/>
        </w:rPr>
        <w:t>二是压茬推进力促建成一批。</w:t>
      </w:r>
      <w:r>
        <w:rPr>
          <w:rFonts w:hint="default" w:ascii="Times New Roman" w:hAnsi="Times New Roman" w:eastAsia="仿宋_GB2312" w:cs="Times New Roman"/>
          <w:b w:val="0"/>
          <w:bCs w:val="0"/>
          <w:sz w:val="32"/>
          <w:szCs w:val="32"/>
          <w:highlight w:val="none"/>
          <w:lang w:val="en-US" w:eastAsia="zh-CN"/>
        </w:rPr>
        <w:t>采取“1+N”专班推进服务机制，运用“点面结合—闭环管理”全生命周期项目管理，快速推进博泰车联网、普曼工业等一批优质项目投资落地等重点在谈项目。加快建设瑞兴二期、光洋新能源汽车及机器人用精密零部件、霖杉陶瓷基板、高鑫电力导体材料等项目。</w:t>
      </w:r>
      <w:r>
        <w:rPr>
          <w:rFonts w:hint="default" w:ascii="Times New Roman" w:hAnsi="Times New Roman" w:eastAsia="方正仿宋_GB2312" w:cs="Times New Roman"/>
          <w:b/>
          <w:bCs/>
          <w:kern w:val="2"/>
          <w:sz w:val="32"/>
          <w:szCs w:val="32"/>
          <w:highlight w:val="none"/>
          <w:lang w:val="en-US" w:eastAsia="zh-CN" w:bidi="ar-SA"/>
        </w:rPr>
        <w:t>三是深度优化招引创新机制。</w:t>
      </w:r>
      <w:r>
        <w:rPr>
          <w:rFonts w:hint="default" w:ascii="Times New Roman" w:hAnsi="Times New Roman" w:eastAsia="仿宋_GB2312" w:cs="Times New Roman"/>
          <w:b w:val="0"/>
          <w:bCs w:val="0"/>
          <w:sz w:val="32"/>
          <w:szCs w:val="32"/>
          <w:highlight w:val="none"/>
          <w:lang w:val="en-US" w:eastAsia="zh-CN"/>
        </w:rPr>
        <w:t>持续贯彻落实“148”工作机制及“四位一体”工作方法，推行“政府+公司+专业机构”联动招商模式，联动市区两级产业引导基金“以投促引”“招投联动”，重点在以生物医疗为代表的新兴产业和以先进智能制造为代表的高附加值产业，以及冲刺中小板、科创板的具有成长性的企业实施精准招商。积极与市场化招商公司合作，以“实体制造业招引＋总部＋招商运营”的模式实现产值和税收双落地，力争通过市场化手段实现“政策招引+运营服务”的新模式。</w:t>
      </w:r>
    </w:p>
    <w:p w14:paraId="0727E676">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方正楷体_GBK" w:cs="Times New Roman"/>
          <w:b/>
          <w:bCs/>
          <w:kern w:val="2"/>
          <w:sz w:val="32"/>
          <w:szCs w:val="32"/>
          <w:lang w:val="en-US" w:eastAsia="zh-CN" w:bidi="ar-SA"/>
        </w:rPr>
        <w:t>（四）“要素保障强承载”攻坚工程。</w:t>
      </w:r>
      <w:r>
        <w:rPr>
          <w:rFonts w:hint="default" w:ascii="Times New Roman" w:hAnsi="Times New Roman" w:eastAsia="仿宋_GB2312" w:cs="Times New Roman"/>
          <w:bCs/>
          <w:kern w:val="2"/>
          <w:sz w:val="32"/>
          <w:szCs w:val="32"/>
          <w:lang w:val="en-US" w:eastAsia="zh-CN" w:bidi="ar-SA"/>
        </w:rPr>
        <w:t>落实开发区公告目录更新及调区工作，保障优化产业格局，提升工业用地率达70%以上；严守耕地保护红线，持续优化占补空间，完成600亩耕地恢复任务；提升用地要素保障能力，完善存量工业用地900亩供应，储备工业用地800亩，重点加快原卓达地块“腾笼换鸟”步伐，全面盘活低效闲置用地不低于300亩，积极探索灵活用地方式，解决土地办证难题。确保项目落地要素保障得力，项目建设流程监管到位，保障项目用地空间可持续发展。</w:t>
      </w:r>
      <w:r>
        <w:rPr>
          <w:rFonts w:hint="default" w:ascii="Times New Roman" w:hAnsi="Times New Roman" w:eastAsia="仿宋_GB2312" w:cs="Times New Roman"/>
          <w:b/>
          <w:bCs w:val="0"/>
          <w:kern w:val="2"/>
          <w:sz w:val="32"/>
          <w:szCs w:val="32"/>
          <w:lang w:val="en-US" w:eastAsia="zh-CN" w:bidi="ar-SA"/>
        </w:rPr>
        <w:t>一是科学规划布局体现集群效益。</w:t>
      </w:r>
      <w:r>
        <w:rPr>
          <w:rFonts w:hint="default" w:ascii="Times New Roman" w:hAnsi="Times New Roman" w:eastAsia="仿宋_GB2312" w:cs="Times New Roman"/>
          <w:bCs/>
          <w:kern w:val="2"/>
          <w:sz w:val="32"/>
          <w:szCs w:val="32"/>
          <w:lang w:val="en-US" w:eastAsia="zh-CN" w:bidi="ar-SA"/>
        </w:rPr>
        <w:t>结合《黄山市国土空间总体规划》合理布局产业功能分区，明确不同区域的主导产业和用地性质。通过开发区公告目录更新及调区工作，剔除“城”、留住“产”的方式，提升可持续发展空间。在调整的新区范围内未建成区域增至2.91平方公里，其中工业用地2.48平方公里，建成工业用地率为75.14%、规划工业用地率75.34%。在园区规划中，根据产业发展趋势和潜在项目需求，预留一定比例的土地作为弹性发展空间及发展空间，剩余可供应土地为2019—2023年年均供地面积的4.1倍。避免因土地规划僵化，无法满足未来新兴项目或扩大生产规模的需求。</w:t>
      </w:r>
      <w:r>
        <w:rPr>
          <w:rFonts w:hint="default" w:ascii="Times New Roman" w:hAnsi="Times New Roman" w:eastAsia="仿宋_GB2312" w:cs="Times New Roman"/>
          <w:b/>
          <w:bCs w:val="0"/>
          <w:kern w:val="2"/>
          <w:sz w:val="32"/>
          <w:szCs w:val="32"/>
          <w:lang w:val="en-US" w:eastAsia="zh-CN" w:bidi="ar-SA"/>
        </w:rPr>
        <w:t>二是守牢耕地保护红线，提升可持续发展能力。</w:t>
      </w:r>
      <w:r>
        <w:rPr>
          <w:rFonts w:hint="default" w:ascii="Times New Roman" w:hAnsi="Times New Roman" w:eastAsia="仿宋_GB2312" w:cs="Times New Roman"/>
          <w:bCs/>
          <w:kern w:val="2"/>
          <w:sz w:val="32"/>
          <w:szCs w:val="32"/>
          <w:lang w:val="en-US" w:eastAsia="zh-CN" w:bidi="ar-SA"/>
        </w:rPr>
        <w:t>严守政府下达高新区永久基本农田保护控制数为12590亩保护红线，耕地总量面积20566亩。根据市政府下达耕地恢复任务，全年力争完成耕地恢复600亩。提升可持续发展能力，推进高新区资源一张图，结合“大占补”政策，落实林草湿普查成果，优化耕地、林地占补空间。妥善处置历史违法用地，杜绝新增违法用地再生，守牢耕地保护红线。</w:t>
      </w:r>
      <w:r>
        <w:rPr>
          <w:rFonts w:hint="default" w:ascii="Times New Roman" w:hAnsi="Times New Roman" w:eastAsia="仿宋_GB2312" w:cs="Times New Roman"/>
          <w:b/>
          <w:bCs w:val="0"/>
          <w:kern w:val="2"/>
          <w:sz w:val="32"/>
          <w:szCs w:val="32"/>
          <w:lang w:val="en-US" w:eastAsia="zh-CN" w:bidi="ar-SA"/>
        </w:rPr>
        <w:t>三是加强土地供应要素保障与土地供应监管。</w:t>
      </w:r>
      <w:r>
        <w:rPr>
          <w:rFonts w:hint="default" w:ascii="Times New Roman" w:hAnsi="Times New Roman" w:eastAsia="仿宋_GB2312" w:cs="Times New Roman"/>
          <w:bCs/>
          <w:kern w:val="2"/>
          <w:sz w:val="32"/>
          <w:szCs w:val="32"/>
          <w:lang w:val="en-US" w:eastAsia="zh-CN" w:bidi="ar-SA"/>
        </w:rPr>
        <w:t>激活提升已批未供存量工业土地，通过完成健康产业园健二路、丹霞路等基础设施建设及完善相关用地手续，激活存量工业用地约900亩的要素保障工作；积极谋划产业发展及用地保障，通过新增报批范围拟将储备工业用地860亩，达到供应条件；协助完成加强土地监管，结合供后监管系统加强对园区土地使用的动态监管，利用现代信息技术，如卫星遥感、地理信息系统等手段，对土地的开发建设情况进行实时监测。对违规使用土地的行为及时发现并依法处理，确保土地按照规划用途使用，降低企业违规建设。</w:t>
      </w:r>
      <w:r>
        <w:rPr>
          <w:rFonts w:hint="default" w:ascii="Times New Roman" w:hAnsi="Times New Roman" w:eastAsia="仿宋_GB2312" w:cs="Times New Roman"/>
          <w:b/>
          <w:bCs w:val="0"/>
          <w:kern w:val="2"/>
          <w:sz w:val="32"/>
          <w:szCs w:val="32"/>
          <w:lang w:val="en-US" w:eastAsia="zh-CN" w:bidi="ar-SA"/>
        </w:rPr>
        <w:t>四是探索灵活的土地 供应方式。</w:t>
      </w:r>
      <w:r>
        <w:rPr>
          <w:rFonts w:hint="default" w:ascii="Times New Roman" w:hAnsi="Times New Roman" w:eastAsia="仿宋_GB2312" w:cs="Times New Roman"/>
          <w:bCs/>
          <w:kern w:val="2"/>
          <w:sz w:val="32"/>
          <w:szCs w:val="32"/>
          <w:lang w:val="en-US" w:eastAsia="zh-CN" w:bidi="ar-SA"/>
        </w:rPr>
        <w:t>结合未来科技园、多弗产业园等项目探索采用多种土地出让方式相结合的模式。如采用长期租赁、先租后让、弹性年期出让等方式，除了传统的招拍挂出让方式外，对于符合园区产业导向的特定项目，可以探索协议出让、租赁等方式。对于一些初创型的科技企业，可以采用短期租赁土地的方式，降低企业的初始成本，待企业发展稳定后再考虑其他土地使用方式。</w:t>
      </w:r>
    </w:p>
    <w:p w14:paraId="6DA0274C">
      <w:pPr>
        <w:pStyle w:val="13"/>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3" w:firstLineChars="200"/>
        <w:textAlignment w:val="auto"/>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方正楷体_GBK" w:cs="Times New Roman"/>
          <w:b/>
          <w:bCs/>
          <w:kern w:val="2"/>
          <w:sz w:val="32"/>
          <w:szCs w:val="32"/>
          <w:lang w:val="en-US" w:eastAsia="zh-CN" w:bidi="ar-SA"/>
        </w:rPr>
        <w:t>（五）“税源培育优质量”攻坚工程。</w:t>
      </w:r>
      <w:r>
        <w:rPr>
          <w:rFonts w:hint="default" w:ascii="Times New Roman" w:hAnsi="Times New Roman" w:eastAsia="仿宋_GB2312" w:cs="Times New Roman"/>
          <w:b w:val="0"/>
          <w:bCs/>
          <w:kern w:val="2"/>
          <w:sz w:val="32"/>
          <w:szCs w:val="32"/>
          <w:lang w:val="en-US" w:eastAsia="zh-CN" w:bidi="ar-SA"/>
        </w:rPr>
        <w:t>加大财源培育和协税护税力度，持续提升财政收入规模和质量，2025年实现一般公共预算收入增长2%。</w:t>
      </w:r>
      <w:r>
        <w:rPr>
          <w:rFonts w:hint="default" w:ascii="Times New Roman" w:hAnsi="Times New Roman" w:eastAsia="方正仿宋_GB2312" w:cs="Times New Roman"/>
          <w:b/>
          <w:bCs/>
          <w:sz w:val="32"/>
          <w:szCs w:val="32"/>
          <w:highlight w:val="none"/>
          <w:lang w:val="en-US" w:eastAsia="zh-CN"/>
        </w:rPr>
        <w:t>一是支持新质生产力发展。</w:t>
      </w:r>
      <w:r>
        <w:rPr>
          <w:rFonts w:hint="default" w:ascii="Times New Roman" w:hAnsi="Times New Roman" w:eastAsia="仿宋_GB2312" w:cs="Times New Roman"/>
          <w:b w:val="0"/>
          <w:bCs/>
          <w:kern w:val="2"/>
          <w:sz w:val="32"/>
          <w:szCs w:val="32"/>
          <w:lang w:val="en-US" w:eastAsia="zh-CN" w:bidi="ar-SA"/>
        </w:rPr>
        <w:t>贯彻落实更加积极的财政政策，持续用力、更加给力，认真落实好中央税费支持政策，打好政策‘组合拳’，让政策红利精准直达企业，更好地服务经营主体、推动经济稳健发展，培育一批骨干财源。</w:t>
      </w:r>
      <w:r>
        <w:rPr>
          <w:rFonts w:hint="default" w:ascii="Times New Roman" w:hAnsi="Times New Roman" w:eastAsia="方正仿宋_GB2312" w:cs="Times New Roman"/>
          <w:b/>
          <w:bCs/>
          <w:sz w:val="32"/>
          <w:szCs w:val="32"/>
          <w:highlight w:val="none"/>
          <w:lang w:val="en-US" w:eastAsia="zh-CN"/>
        </w:rPr>
        <w:t>二是提升金融服务质效。</w:t>
      </w:r>
      <w:r>
        <w:rPr>
          <w:rFonts w:hint="default" w:ascii="Times New Roman" w:hAnsi="Times New Roman" w:eastAsia="仿宋_GB2312" w:cs="Times New Roman"/>
          <w:b w:val="0"/>
          <w:bCs/>
          <w:kern w:val="2"/>
          <w:sz w:val="32"/>
          <w:szCs w:val="32"/>
          <w:lang w:val="en-US" w:eastAsia="zh-CN" w:bidi="ar-SA"/>
        </w:rPr>
        <w:t>通过落实设备更新改造贴息、创业担保贷款贴息、政银担贷款贴息等举措，降低企业融资成本，优化金融服务质效，促使金融精准滴灌企业，助力企业发展以增加税收。</w:t>
      </w:r>
      <w:r>
        <w:rPr>
          <w:rFonts w:hint="default" w:ascii="Times New Roman" w:hAnsi="Times New Roman" w:eastAsia="方正仿宋_GB2312" w:cs="Times New Roman"/>
          <w:b/>
          <w:bCs/>
          <w:sz w:val="32"/>
          <w:szCs w:val="32"/>
          <w:highlight w:val="none"/>
          <w:lang w:val="en-US" w:eastAsia="zh-CN"/>
        </w:rPr>
        <w:t>三是做好征收管理工作。</w:t>
      </w:r>
      <w:r>
        <w:rPr>
          <w:rFonts w:hint="default" w:ascii="Times New Roman" w:hAnsi="Times New Roman" w:eastAsia="仿宋_GB2312" w:cs="Times New Roman"/>
          <w:b w:val="0"/>
          <w:bCs/>
          <w:kern w:val="2"/>
          <w:sz w:val="32"/>
          <w:szCs w:val="32"/>
          <w:lang w:val="en-US" w:eastAsia="zh-CN" w:bidi="ar-SA"/>
        </w:rPr>
        <w:t>加大涉税信息共享力度，强化财政、税务、经贸、发改、住建等有关部门的联动，分规模分行业分区域精准辅导工业、建筑业、房地产业、住宿餐饮业和服务业重点企业规范纳税。抓住重点，突破难点，不断加大欠税清理力度，重点做好土地增值税、房产税等税种清理工作，确保应收尽收、及时入库。</w:t>
      </w:r>
    </w:p>
    <w:p w14:paraId="7D525929">
      <w:pPr>
        <w:keepNext w:val="0"/>
        <w:keepLines w:val="0"/>
        <w:pageBreakBefore w:val="0"/>
        <w:widowControl w:val="0"/>
        <w:kinsoku/>
        <w:wordWrap/>
        <w:overflowPunct/>
        <w:topLinePunct w:val="0"/>
        <w:autoSpaceDE/>
        <w:autoSpaceDN/>
        <w:bidi w:val="0"/>
        <w:adjustRightInd/>
        <w:snapToGrid/>
        <w:spacing w:line="570" w:lineRule="exact"/>
        <w:ind w:firstLine="643" w:firstLineChars="200"/>
        <w:jc w:val="both"/>
        <w:textAlignment w:val="auto"/>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方正楷体_GBK" w:cs="Times New Roman"/>
          <w:b/>
          <w:bCs/>
          <w:kern w:val="2"/>
          <w:sz w:val="32"/>
          <w:szCs w:val="32"/>
          <w:lang w:val="en-US" w:eastAsia="zh-CN" w:bidi="ar-SA"/>
        </w:rPr>
        <w:t>（六）“平安园区筑底板”攻坚工程。</w:t>
      </w:r>
      <w:r>
        <w:rPr>
          <w:rFonts w:hint="default" w:ascii="Times New Roman" w:hAnsi="Times New Roman" w:eastAsia="仿宋_GB2312" w:cs="Times New Roman"/>
          <w:bCs/>
          <w:kern w:val="2"/>
          <w:sz w:val="32"/>
          <w:szCs w:val="32"/>
          <w:lang w:val="en-US" w:eastAsia="zh-CN" w:bidi="ar-SA"/>
        </w:rPr>
        <w:t>按照“治安环境持续向好、安全生产形势总体平稳、群众满意度不断提升”要求，持续优化平安园区建设。</w:t>
      </w:r>
      <w:r>
        <w:rPr>
          <w:rFonts w:hint="default" w:ascii="Times New Roman" w:hAnsi="Times New Roman" w:eastAsia="方正仿宋_GB2312" w:cs="Times New Roman"/>
          <w:b/>
          <w:bCs/>
          <w:kern w:val="2"/>
          <w:sz w:val="32"/>
          <w:szCs w:val="32"/>
          <w:highlight w:val="none"/>
          <w:lang w:val="en-US" w:eastAsia="zh-CN" w:bidi="ar-SA"/>
        </w:rPr>
        <w:t>一是深入推进矛盾纠纷排查调处。</w:t>
      </w:r>
      <w:r>
        <w:rPr>
          <w:rFonts w:hint="default" w:ascii="Times New Roman" w:hAnsi="Times New Roman" w:eastAsia="仿宋_GB2312" w:cs="Times New Roman"/>
          <w:bCs/>
          <w:kern w:val="2"/>
          <w:sz w:val="32"/>
          <w:szCs w:val="32"/>
          <w:lang w:val="en-US" w:eastAsia="zh-CN" w:bidi="ar-SA"/>
        </w:rPr>
        <w:t>严格落实属地和行业监管责任，对各类突出矛盾纠纷做到底数清、情况明，定期分析研判社会风险形势，采取措施积极推动矛盾问题有效化解。</w:t>
      </w:r>
      <w:r>
        <w:rPr>
          <w:rFonts w:hint="default" w:ascii="Times New Roman" w:hAnsi="Times New Roman" w:eastAsia="方正仿宋_GB2312" w:cs="Times New Roman"/>
          <w:b/>
          <w:bCs/>
          <w:kern w:val="2"/>
          <w:sz w:val="32"/>
          <w:szCs w:val="32"/>
          <w:highlight w:val="none"/>
          <w:lang w:val="en-US" w:eastAsia="zh-CN" w:bidi="ar-SA"/>
        </w:rPr>
        <w:t>二是切实加强社会治安综合治理。</w:t>
      </w:r>
      <w:r>
        <w:rPr>
          <w:rFonts w:hint="default" w:ascii="Times New Roman" w:hAnsi="Times New Roman" w:eastAsia="仿宋_GB2312" w:cs="Times New Roman"/>
          <w:bCs/>
          <w:kern w:val="2"/>
          <w:sz w:val="32"/>
          <w:szCs w:val="32"/>
          <w:lang w:val="en-US" w:eastAsia="zh-CN" w:bidi="ar-SA"/>
        </w:rPr>
        <w:t>要统筹推进重点场所、重点企业、重点物品、涉险公共区域安全防护等安全管理工作。</w:t>
      </w:r>
      <w:r>
        <w:rPr>
          <w:rFonts w:hint="default" w:ascii="Times New Roman" w:hAnsi="Times New Roman" w:eastAsia="方正仿宋_GB2312" w:cs="Times New Roman"/>
          <w:b/>
          <w:bCs/>
          <w:kern w:val="2"/>
          <w:sz w:val="32"/>
          <w:szCs w:val="32"/>
          <w:highlight w:val="none"/>
          <w:lang w:val="en-US" w:eastAsia="zh-CN" w:bidi="ar-SA"/>
        </w:rPr>
        <w:t>三是强化重点人员管理稳控。</w:t>
      </w:r>
      <w:r>
        <w:rPr>
          <w:rFonts w:hint="default" w:ascii="Times New Roman" w:hAnsi="Times New Roman" w:eastAsia="仿宋_GB2312" w:cs="Times New Roman"/>
          <w:bCs/>
          <w:kern w:val="2"/>
          <w:sz w:val="32"/>
          <w:szCs w:val="32"/>
          <w:lang w:val="en-US" w:eastAsia="zh-CN" w:bidi="ar-SA"/>
        </w:rPr>
        <w:t>推进反邪教领域防控教育、警示宣传等工作，推进完善落实安置帮教对象就业服务、救助帮扶政策，推进落实严重精神障碍患者管理救助工作。推动信访工作法治化，牵头领导要对信访办理适时进行调度，分析问题，推动疑难信访事项实体化解决。</w:t>
      </w:r>
      <w:r>
        <w:rPr>
          <w:rFonts w:hint="default" w:ascii="Times New Roman" w:hAnsi="Times New Roman" w:eastAsia="方正仿宋_GB2312" w:cs="Times New Roman"/>
          <w:b/>
          <w:bCs/>
          <w:kern w:val="2"/>
          <w:sz w:val="32"/>
          <w:szCs w:val="32"/>
          <w:highlight w:val="none"/>
          <w:lang w:val="en-US" w:eastAsia="zh-CN" w:bidi="ar-SA"/>
        </w:rPr>
        <w:t>四是持续筑牢发展安全屏障。</w:t>
      </w:r>
      <w:r>
        <w:rPr>
          <w:rFonts w:hint="default" w:ascii="Times New Roman" w:hAnsi="Times New Roman" w:eastAsia="仿宋_GB2312" w:cs="Times New Roman"/>
          <w:bCs/>
          <w:kern w:val="2"/>
          <w:sz w:val="32"/>
          <w:szCs w:val="32"/>
          <w:lang w:val="en-US" w:eastAsia="zh-CN" w:bidi="ar-SA"/>
        </w:rPr>
        <w:t>2025年安全生产三级标准化企业创建不少于3家，总数不少于38家；新建工业企业项目安全生产“三同时”完成率达到100%。园区企业废气排放稳定达标。油烟、噪声、异味等群众身边的环境问题投诉量持续下降。</w:t>
      </w:r>
    </w:p>
    <w:p w14:paraId="5D38550F">
      <w:pPr>
        <w:pStyle w:val="13"/>
        <w:keepNext w:val="0"/>
        <w:keepLines w:val="0"/>
        <w:pageBreakBefore w:val="0"/>
        <w:widowControl w:val="0"/>
        <w:numPr>
          <w:ilvl w:val="0"/>
          <w:numId w:val="0"/>
        </w:numPr>
        <w:kinsoku/>
        <w:wordWrap/>
        <w:overflowPunct w:val="0"/>
        <w:topLinePunct w:val="0"/>
        <w:autoSpaceDE/>
        <w:autoSpaceDN/>
        <w:bidi w:val="0"/>
        <w:adjustRightInd/>
        <w:snapToGrid/>
        <w:spacing w:line="57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方正楷体_GBK" w:cs="Times New Roman"/>
          <w:b/>
          <w:bCs/>
          <w:kern w:val="2"/>
          <w:sz w:val="32"/>
          <w:szCs w:val="32"/>
          <w:lang w:val="en-US" w:eastAsia="zh-CN" w:bidi="ar-SA"/>
        </w:rPr>
        <w:t>（七）“党的建设聚发展”攻坚工程。</w:t>
      </w:r>
      <w:r>
        <w:rPr>
          <w:rFonts w:hint="default" w:ascii="Times New Roman" w:hAnsi="Times New Roman" w:eastAsia="仿宋_GB2312" w:cs="Times New Roman"/>
          <w:sz w:val="32"/>
          <w:szCs w:val="32"/>
        </w:rPr>
        <w:t>从助力企业提</w:t>
      </w:r>
      <w:r>
        <w:rPr>
          <w:rFonts w:hint="default" w:ascii="Times New Roman" w:hAnsi="Times New Roman" w:eastAsia="仿宋_GB2312" w:cs="Times New Roman"/>
          <w:sz w:val="32"/>
          <w:szCs w:val="32"/>
          <w:lang w:eastAsia="zh-CN"/>
        </w:rPr>
        <w:t>质</w:t>
      </w:r>
      <w:r>
        <w:rPr>
          <w:rFonts w:hint="default" w:ascii="Times New Roman" w:hAnsi="Times New Roman" w:eastAsia="仿宋_GB2312" w:cs="Times New Roman"/>
          <w:sz w:val="32"/>
          <w:szCs w:val="32"/>
        </w:rPr>
        <w:t>升级、助力乡村振兴、助力人才集聚、助力营商环境、助力改革攻坚五个方面发力，进一步夯实基础、创新思维、凝心聚力，把党的组织优势、政治优势转化为发展的动能，促进园区社会经济高质量发展。</w:t>
      </w:r>
      <w:r>
        <w:rPr>
          <w:rFonts w:hint="default" w:ascii="Times New Roman" w:hAnsi="Times New Roman" w:eastAsia="仿宋_GB2312" w:cs="Times New Roman"/>
          <w:b/>
          <w:bCs/>
          <w:sz w:val="32"/>
          <w:szCs w:val="32"/>
        </w:rPr>
        <w:t>一是党建助力企业提</w:t>
      </w:r>
      <w:r>
        <w:rPr>
          <w:rFonts w:hint="default" w:ascii="Times New Roman" w:hAnsi="Times New Roman" w:eastAsia="仿宋_GB2312" w:cs="Times New Roman"/>
          <w:b/>
          <w:bCs/>
          <w:sz w:val="32"/>
          <w:szCs w:val="32"/>
          <w:lang w:eastAsia="zh-CN"/>
        </w:rPr>
        <w:t>质</w:t>
      </w:r>
      <w:r>
        <w:rPr>
          <w:rFonts w:hint="default" w:ascii="Times New Roman" w:hAnsi="Times New Roman" w:eastAsia="仿宋_GB2312" w:cs="Times New Roman"/>
          <w:b/>
          <w:bCs/>
          <w:sz w:val="32"/>
          <w:szCs w:val="32"/>
        </w:rPr>
        <w:t>升级。</w:t>
      </w:r>
      <w:r>
        <w:rPr>
          <w:rFonts w:hint="default" w:ascii="Times New Roman" w:hAnsi="Times New Roman" w:eastAsia="仿宋_GB2312" w:cs="Times New Roman"/>
          <w:sz w:val="32"/>
          <w:szCs w:val="32"/>
        </w:rPr>
        <w:t>以争创省、市“双强六好”非公企业党组织为抓手，不断深化提炼非公企业党建工作法，持续打造企业党建工作品牌。发挥产业链综合党委“组织桥梁”作用，组织开展链内要素对接活动，职能部门现场办理企业诉求。不断丰富拓展园区“红色领航</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同‘新’荟园”非公党建工作品牌的内涵和外延，实现强党建、优服务、促发展。以党建共建促产业联建，在与上海嘉定工业区党建共建基础上，开展互访交流、党建论坛等活动，推动双方园区龙头企业交流合作，积极争取长三角产业项目承接转移。</w:t>
      </w:r>
      <w:r>
        <w:rPr>
          <w:rFonts w:hint="default" w:ascii="Times New Roman" w:hAnsi="Times New Roman" w:eastAsia="仿宋_GB2312" w:cs="Times New Roman"/>
          <w:b/>
          <w:bCs/>
          <w:sz w:val="32"/>
          <w:szCs w:val="32"/>
        </w:rPr>
        <w:t>二是党建助力乡村全面振兴。</w:t>
      </w:r>
      <w:r>
        <w:rPr>
          <w:rFonts w:hint="default" w:ascii="Times New Roman" w:hAnsi="Times New Roman" w:eastAsia="仿宋_GB2312" w:cs="Times New Roman"/>
          <w:sz w:val="32"/>
          <w:szCs w:val="32"/>
        </w:rPr>
        <w:t>积极开展干部素质提升行动，不断增强干部政治理论素养和干事创业能力。深化“党建+”模式，推动党建与乡村振兴、基层治理等重点工作深度融合。完成新潭镇2025年区级巩固拓展脱贫攻坚成果和乡村振兴项目库调整工作，持续积极推动产业升级、项目建设。继续做好农村土地经营、资源整合发展等工作。改造提升蕉充商业街，发展夜间经济，打造特色商业街区，激发消费市场活力。全力支持推动“艺术长源”、长托特色名宿集群、仙和牛文化农副产品展示推广中心、东关酱油文化馆及陶艺中心等项目打造，擦亮本土文化名片。</w:t>
      </w:r>
      <w:r>
        <w:rPr>
          <w:rFonts w:hint="default" w:ascii="Times New Roman" w:hAnsi="Times New Roman" w:eastAsia="仿宋_GB2312" w:cs="Times New Roman"/>
          <w:b/>
          <w:bCs/>
          <w:sz w:val="32"/>
          <w:szCs w:val="32"/>
        </w:rPr>
        <w:t>三是党建助力人才集聚。</w:t>
      </w:r>
      <w:r>
        <w:rPr>
          <w:rFonts w:hint="default" w:ascii="Times New Roman" w:hAnsi="Times New Roman" w:eastAsia="仿宋_GB2312" w:cs="Times New Roman"/>
          <w:sz w:val="32"/>
          <w:szCs w:val="32"/>
        </w:rPr>
        <w:t>高标准开展迎客松英才计划、科技副总、“市特支”等工作，全方位增进人才与企业之间的深度融合与协作。举办人才招聘会，搭建起企业与求职者之间精准对接的桥梁，为企业的稳定发展和人力资源的合理配置提供有力支持。积极推动企业与本地职业院校、高校建立深度合作关系。精心为企业量身定制人才培养方案，真正实现招生与招工同步、教学与生产同步、实习与就业一体化。大力推进创业担保贷款发放工作，确保发放创业担保贷款金额不低于 2800 万元。开展市外大中专毕业生招引工作，吸引市外大中专毕业生投身本地发展，增强区域发展的人才支撑力。</w:t>
      </w:r>
      <w:r>
        <w:rPr>
          <w:rFonts w:hint="default" w:ascii="Times New Roman" w:hAnsi="Times New Roman" w:eastAsia="仿宋_GB2312" w:cs="Times New Roman"/>
          <w:b/>
          <w:bCs/>
          <w:sz w:val="32"/>
          <w:szCs w:val="32"/>
        </w:rPr>
        <w:t>四是党建助力优化营商环境。</w:t>
      </w:r>
      <w:r>
        <w:rPr>
          <w:rFonts w:hint="default" w:ascii="Times New Roman" w:hAnsi="Times New Roman" w:eastAsia="仿宋_GB2312" w:cs="Times New Roman"/>
          <w:sz w:val="32"/>
          <w:szCs w:val="32"/>
        </w:rPr>
        <w:t>结合“四上”企业和重大项目，统筹选派新一轮驻企（项目）服务专员，进一步加强政企联系，实现企业诉求办结率达100%。结合经济运行分析、退税减税、安全生产等工作，定期走访企业宣贯惠企政策，打通政策落地“最后一公里”。持续为企业提供公司注册、行政审批、代办代跑等“一站式办结”服务，畅通工作链条，强化综合协调，实施项目闭环管理，促进项目早开工、早投产、早达效。</w:t>
      </w:r>
      <w:r>
        <w:rPr>
          <w:rFonts w:hint="default" w:ascii="Times New Roman" w:hAnsi="Times New Roman" w:eastAsia="方正仿宋_GB2312" w:cs="Times New Roman"/>
          <w:b/>
          <w:bCs/>
          <w:kern w:val="2"/>
          <w:sz w:val="32"/>
          <w:szCs w:val="32"/>
          <w:highlight w:val="none"/>
          <w:lang w:val="en-US" w:eastAsia="zh-CN" w:bidi="ar-SA"/>
        </w:rPr>
        <w:t>五是党建助力改革攻坚。</w:t>
      </w:r>
      <w:r>
        <w:rPr>
          <w:rFonts w:hint="default" w:ascii="Times New Roman" w:hAnsi="Times New Roman" w:eastAsia="仿宋_GB2312" w:cs="Times New Roman"/>
          <w:sz w:val="32"/>
          <w:szCs w:val="32"/>
        </w:rPr>
        <w:t>推进“管委会+公司”管理体制优化。充分认识深化开发区体制机制改革的重要意义，严格落实市委、市政府的决策部署，进一步聚焦主责主业，解放思想、锐意进取、勇于担当、真抓实干，确保开发区体制机制改革工作顺利推进，圆满完成。</w:t>
      </w:r>
    </w:p>
    <w:bookmarkEnd w:id="6"/>
    <w:p w14:paraId="5B8EFE5A">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三、组织领导</w:t>
      </w:r>
    </w:p>
    <w:p w14:paraId="426132ED">
      <w:pPr>
        <w:keepNext w:val="0"/>
        <w:keepLines w:val="0"/>
        <w:pageBreakBefore w:val="0"/>
        <w:widowControl w:val="0"/>
        <w:kinsoku/>
        <w:wordWrap/>
        <w:overflowPunct/>
        <w:topLinePunct w:val="0"/>
        <w:bidi w:val="0"/>
        <w:adjustRightInd/>
        <w:snapToGrid/>
        <w:spacing w:line="57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成立</w:t>
      </w:r>
      <w:r>
        <w:rPr>
          <w:rFonts w:hint="default" w:ascii="Times New Roman" w:hAnsi="Times New Roman" w:eastAsia="仿宋_GB2312" w:cs="Times New Roman"/>
          <w:sz w:val="32"/>
          <w:szCs w:val="32"/>
          <w:lang w:val="en-US" w:eastAsia="zh-CN"/>
        </w:rPr>
        <w:t>黄山</w:t>
      </w:r>
      <w:r>
        <w:rPr>
          <w:rFonts w:hint="default" w:ascii="Times New Roman" w:hAnsi="Times New Roman" w:eastAsia="仿宋_GB2312" w:cs="Times New Roman"/>
          <w:sz w:val="32"/>
          <w:szCs w:val="32"/>
        </w:rPr>
        <w:t>高新区“园区转型升级攻坚年”活动领</w:t>
      </w:r>
      <w:r>
        <w:rPr>
          <w:rFonts w:hint="default" w:ascii="Times New Roman" w:hAnsi="Times New Roman" w:eastAsia="仿宋_GB2312" w:cs="Times New Roman"/>
          <w:sz w:val="32"/>
          <w:szCs w:val="32"/>
          <w:lang w:eastAsia="zh-CN"/>
        </w:rPr>
        <w:t>导小</w:t>
      </w:r>
      <w:r>
        <w:rPr>
          <w:rFonts w:hint="default" w:ascii="Times New Roman" w:hAnsi="Times New Roman" w:eastAsia="仿宋_GB2312" w:cs="Times New Roman"/>
          <w:sz w:val="32"/>
          <w:szCs w:val="32"/>
        </w:rPr>
        <w:t>组，其组成人员如下：</w:t>
      </w:r>
    </w:p>
    <w:tbl>
      <w:tblPr>
        <w:tblStyle w:val="8"/>
        <w:tblpPr w:leftFromText="180" w:rightFromText="180" w:vertAnchor="text" w:horzAnchor="page" w:tblpX="2183" w:tblpY="102"/>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61"/>
        <w:gridCol w:w="1361"/>
        <w:gridCol w:w="1361"/>
        <w:gridCol w:w="1361"/>
        <w:gridCol w:w="1361"/>
        <w:gridCol w:w="1361"/>
      </w:tblGrid>
      <w:tr w14:paraId="61185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1361" w:type="dxa"/>
            <w:tcBorders>
              <w:tl2br w:val="nil"/>
              <w:tr2bl w:val="nil"/>
            </w:tcBorders>
            <w:vAlign w:val="top"/>
          </w:tcPr>
          <w:p w14:paraId="257C59A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楷体_GBK" w:cs="Times New Roman"/>
                <w:b/>
                <w:bCs/>
                <w:sz w:val="32"/>
                <w:szCs w:val="32"/>
                <w:vertAlign w:val="baseline"/>
                <w:lang w:val="en-US" w:eastAsia="zh-CN"/>
              </w:rPr>
            </w:pPr>
            <w:r>
              <w:rPr>
                <w:rFonts w:hint="default" w:ascii="Times New Roman" w:hAnsi="Times New Roman" w:eastAsia="方正楷体_GBK" w:cs="Times New Roman"/>
                <w:b/>
                <w:bCs/>
                <w:sz w:val="32"/>
                <w:szCs w:val="32"/>
                <w:vertAlign w:val="baseline"/>
                <w:lang w:val="en-US" w:eastAsia="zh-CN"/>
              </w:rPr>
              <w:t>组  长：</w:t>
            </w:r>
          </w:p>
        </w:tc>
        <w:tc>
          <w:tcPr>
            <w:tcW w:w="1361" w:type="dxa"/>
            <w:tcBorders>
              <w:tl2br w:val="nil"/>
              <w:tr2bl w:val="nil"/>
            </w:tcBorders>
            <w:vAlign w:val="top"/>
          </w:tcPr>
          <w:p w14:paraId="218558F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仿宋_GB2312" w:cs="Times New Roman"/>
                <w:b w:val="0"/>
                <w:bCs w:val="0"/>
                <w:sz w:val="32"/>
                <w:szCs w:val="32"/>
                <w:vertAlign w:val="baseline"/>
                <w:lang w:val="en-US" w:eastAsia="zh-CN"/>
              </w:rPr>
            </w:pPr>
            <w:r>
              <w:rPr>
                <w:rFonts w:hint="default" w:ascii="Times New Roman" w:hAnsi="Times New Roman" w:eastAsia="方正仿宋_GB2312" w:cs="Times New Roman"/>
                <w:b w:val="0"/>
                <w:bCs w:val="0"/>
                <w:sz w:val="32"/>
                <w:szCs w:val="32"/>
                <w:vertAlign w:val="baseline"/>
                <w:lang w:val="en-US" w:eastAsia="zh-CN"/>
              </w:rPr>
              <w:t>吉  刚</w:t>
            </w:r>
          </w:p>
        </w:tc>
        <w:tc>
          <w:tcPr>
            <w:tcW w:w="1361" w:type="dxa"/>
            <w:tcBorders>
              <w:tl2br w:val="nil"/>
              <w:tr2bl w:val="nil"/>
            </w:tcBorders>
            <w:vAlign w:val="top"/>
          </w:tcPr>
          <w:p w14:paraId="67339E7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仿宋_GB2312" w:cs="Times New Roman"/>
                <w:b w:val="0"/>
                <w:bCs w:val="0"/>
                <w:sz w:val="32"/>
                <w:szCs w:val="32"/>
                <w:vertAlign w:val="baseline"/>
              </w:rPr>
            </w:pPr>
          </w:p>
        </w:tc>
        <w:tc>
          <w:tcPr>
            <w:tcW w:w="1361" w:type="dxa"/>
            <w:tcBorders>
              <w:tl2br w:val="nil"/>
              <w:tr2bl w:val="nil"/>
            </w:tcBorders>
            <w:vAlign w:val="top"/>
          </w:tcPr>
          <w:p w14:paraId="0269385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仿宋_GB2312" w:cs="Times New Roman"/>
                <w:b w:val="0"/>
                <w:bCs w:val="0"/>
                <w:sz w:val="32"/>
                <w:szCs w:val="32"/>
                <w:vertAlign w:val="baseline"/>
              </w:rPr>
            </w:pPr>
          </w:p>
        </w:tc>
        <w:tc>
          <w:tcPr>
            <w:tcW w:w="1361" w:type="dxa"/>
            <w:tcBorders>
              <w:tl2br w:val="nil"/>
              <w:tr2bl w:val="nil"/>
            </w:tcBorders>
            <w:vAlign w:val="top"/>
          </w:tcPr>
          <w:p w14:paraId="4841385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仿宋_GB2312" w:cs="Times New Roman"/>
                <w:b w:val="0"/>
                <w:bCs w:val="0"/>
                <w:sz w:val="32"/>
                <w:szCs w:val="32"/>
                <w:vertAlign w:val="baseline"/>
              </w:rPr>
            </w:pPr>
          </w:p>
        </w:tc>
        <w:tc>
          <w:tcPr>
            <w:tcW w:w="1361" w:type="dxa"/>
            <w:tcBorders>
              <w:tl2br w:val="nil"/>
              <w:tr2bl w:val="nil"/>
            </w:tcBorders>
            <w:vAlign w:val="top"/>
          </w:tcPr>
          <w:p w14:paraId="56A7923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仿宋_GB2312" w:cs="Times New Roman"/>
                <w:b w:val="0"/>
                <w:bCs w:val="0"/>
                <w:sz w:val="32"/>
                <w:szCs w:val="32"/>
                <w:vertAlign w:val="baseline"/>
              </w:rPr>
            </w:pPr>
          </w:p>
        </w:tc>
      </w:tr>
      <w:tr w14:paraId="5575F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61" w:type="dxa"/>
            <w:vMerge w:val="restart"/>
            <w:tcBorders>
              <w:tl2br w:val="nil"/>
              <w:tr2bl w:val="nil"/>
            </w:tcBorders>
            <w:vAlign w:val="top"/>
          </w:tcPr>
          <w:p w14:paraId="6188DBC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楷体_GBK" w:cs="Times New Roman"/>
                <w:b/>
                <w:bCs/>
                <w:sz w:val="32"/>
                <w:szCs w:val="32"/>
                <w:vertAlign w:val="baseline"/>
                <w:lang w:val="en-US" w:eastAsia="zh-CN"/>
              </w:rPr>
            </w:pPr>
            <w:r>
              <w:rPr>
                <w:rFonts w:hint="default" w:ascii="Times New Roman" w:hAnsi="Times New Roman" w:eastAsia="方正楷体_GBK" w:cs="Times New Roman"/>
                <w:b/>
                <w:bCs/>
                <w:sz w:val="32"/>
                <w:szCs w:val="32"/>
                <w:vertAlign w:val="baseline"/>
                <w:lang w:val="en-US" w:eastAsia="zh-CN"/>
              </w:rPr>
              <w:t>副组长：</w:t>
            </w:r>
          </w:p>
        </w:tc>
        <w:tc>
          <w:tcPr>
            <w:tcW w:w="1361" w:type="dxa"/>
            <w:tcBorders>
              <w:tl2br w:val="nil"/>
              <w:tr2bl w:val="nil"/>
            </w:tcBorders>
            <w:vAlign w:val="top"/>
          </w:tcPr>
          <w:p w14:paraId="19EEA2F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仿宋_GB2312" w:cs="Times New Roman"/>
                <w:b w:val="0"/>
                <w:bCs w:val="0"/>
                <w:sz w:val="32"/>
                <w:szCs w:val="32"/>
                <w:vertAlign w:val="baseline"/>
                <w:lang w:val="en-US" w:eastAsia="zh-CN"/>
              </w:rPr>
            </w:pPr>
            <w:r>
              <w:rPr>
                <w:rFonts w:hint="default" w:ascii="Times New Roman" w:hAnsi="Times New Roman" w:eastAsia="方正仿宋_GB2312" w:cs="Times New Roman"/>
                <w:b w:val="0"/>
                <w:bCs w:val="0"/>
                <w:sz w:val="32"/>
                <w:szCs w:val="32"/>
                <w:vertAlign w:val="baseline"/>
                <w:lang w:val="en-US" w:eastAsia="zh-CN"/>
              </w:rPr>
              <w:t>凌沧桑</w:t>
            </w:r>
          </w:p>
        </w:tc>
        <w:tc>
          <w:tcPr>
            <w:tcW w:w="1361" w:type="dxa"/>
            <w:tcBorders>
              <w:tl2br w:val="nil"/>
              <w:tr2bl w:val="nil"/>
            </w:tcBorders>
            <w:vAlign w:val="top"/>
          </w:tcPr>
          <w:p w14:paraId="1A9F668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仿宋_GB2312" w:cs="Times New Roman"/>
                <w:b w:val="0"/>
                <w:bCs w:val="0"/>
                <w:sz w:val="32"/>
                <w:szCs w:val="32"/>
                <w:vertAlign w:val="baseline"/>
                <w:lang w:val="en-US" w:eastAsia="zh-CN"/>
              </w:rPr>
            </w:pPr>
            <w:r>
              <w:rPr>
                <w:rFonts w:hint="default" w:ascii="Times New Roman" w:hAnsi="Times New Roman" w:eastAsia="方正仿宋_GB2312" w:cs="Times New Roman"/>
                <w:b w:val="0"/>
                <w:bCs w:val="0"/>
                <w:sz w:val="32"/>
                <w:szCs w:val="32"/>
                <w:vertAlign w:val="baseline"/>
                <w:lang w:val="en-US" w:eastAsia="zh-CN"/>
              </w:rPr>
              <w:t>方应艰</w:t>
            </w:r>
          </w:p>
        </w:tc>
        <w:tc>
          <w:tcPr>
            <w:tcW w:w="1361" w:type="dxa"/>
            <w:tcBorders>
              <w:tl2br w:val="nil"/>
              <w:tr2bl w:val="nil"/>
            </w:tcBorders>
            <w:vAlign w:val="top"/>
          </w:tcPr>
          <w:p w14:paraId="7773150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仿宋_GB2312" w:cs="Times New Roman"/>
                <w:b w:val="0"/>
                <w:bCs w:val="0"/>
                <w:sz w:val="32"/>
                <w:szCs w:val="32"/>
                <w:vertAlign w:val="baseline"/>
                <w:lang w:val="en-US" w:eastAsia="zh-CN"/>
              </w:rPr>
            </w:pPr>
            <w:r>
              <w:rPr>
                <w:rFonts w:hint="default" w:ascii="Times New Roman" w:hAnsi="Times New Roman" w:eastAsia="方正仿宋_GB2312" w:cs="Times New Roman"/>
                <w:b w:val="0"/>
                <w:bCs w:val="0"/>
                <w:sz w:val="32"/>
                <w:szCs w:val="32"/>
                <w:vertAlign w:val="baseline"/>
                <w:lang w:val="en-US" w:eastAsia="zh-CN"/>
              </w:rPr>
              <w:t>胡广汉</w:t>
            </w:r>
          </w:p>
        </w:tc>
        <w:tc>
          <w:tcPr>
            <w:tcW w:w="1361" w:type="dxa"/>
            <w:tcBorders>
              <w:tl2br w:val="nil"/>
              <w:tr2bl w:val="nil"/>
            </w:tcBorders>
            <w:vAlign w:val="top"/>
          </w:tcPr>
          <w:p w14:paraId="2D0C9BE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仿宋_GB2312" w:cs="Times New Roman"/>
                <w:b w:val="0"/>
                <w:bCs w:val="0"/>
                <w:sz w:val="32"/>
                <w:szCs w:val="32"/>
                <w:vertAlign w:val="baseline"/>
                <w:lang w:val="en-US" w:eastAsia="zh-CN"/>
              </w:rPr>
            </w:pPr>
            <w:r>
              <w:rPr>
                <w:rFonts w:hint="default" w:ascii="Times New Roman" w:hAnsi="Times New Roman" w:eastAsia="方正仿宋_GB2312" w:cs="Times New Roman"/>
                <w:b w:val="0"/>
                <w:bCs w:val="0"/>
                <w:sz w:val="32"/>
                <w:szCs w:val="32"/>
                <w:vertAlign w:val="baseline"/>
                <w:lang w:val="en-US" w:eastAsia="zh-CN"/>
              </w:rPr>
              <w:t>朱永进</w:t>
            </w:r>
          </w:p>
        </w:tc>
        <w:tc>
          <w:tcPr>
            <w:tcW w:w="1361" w:type="dxa"/>
            <w:tcBorders>
              <w:tl2br w:val="nil"/>
              <w:tr2bl w:val="nil"/>
            </w:tcBorders>
            <w:vAlign w:val="top"/>
          </w:tcPr>
          <w:p w14:paraId="1D54620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仿宋_GB2312" w:cs="Times New Roman"/>
                <w:b w:val="0"/>
                <w:bCs w:val="0"/>
                <w:sz w:val="32"/>
                <w:szCs w:val="32"/>
                <w:vertAlign w:val="baseline"/>
                <w:lang w:val="en-US" w:eastAsia="zh-CN"/>
              </w:rPr>
            </w:pPr>
            <w:r>
              <w:rPr>
                <w:rFonts w:hint="default" w:ascii="Times New Roman" w:hAnsi="Times New Roman" w:eastAsia="方正仿宋_GB2312" w:cs="Times New Roman"/>
                <w:b w:val="0"/>
                <w:bCs w:val="0"/>
                <w:sz w:val="32"/>
                <w:szCs w:val="32"/>
                <w:vertAlign w:val="baseline"/>
                <w:lang w:val="en-US" w:eastAsia="zh-CN"/>
              </w:rPr>
              <w:t>韩建予</w:t>
            </w:r>
          </w:p>
        </w:tc>
      </w:tr>
      <w:tr w14:paraId="13750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61" w:type="dxa"/>
            <w:vMerge w:val="continue"/>
            <w:tcBorders>
              <w:tl2br w:val="nil"/>
              <w:tr2bl w:val="nil"/>
            </w:tcBorders>
            <w:vAlign w:val="top"/>
          </w:tcPr>
          <w:p w14:paraId="3506A94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楷体_GBK" w:cs="Times New Roman"/>
                <w:b/>
                <w:bCs/>
                <w:sz w:val="32"/>
                <w:szCs w:val="32"/>
                <w:vertAlign w:val="baseline"/>
              </w:rPr>
            </w:pPr>
          </w:p>
        </w:tc>
        <w:tc>
          <w:tcPr>
            <w:tcW w:w="1361" w:type="dxa"/>
            <w:tcBorders>
              <w:tl2br w:val="nil"/>
              <w:tr2bl w:val="nil"/>
            </w:tcBorders>
            <w:vAlign w:val="top"/>
          </w:tcPr>
          <w:p w14:paraId="3099085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仿宋_GB2312" w:cs="Times New Roman"/>
                <w:b w:val="0"/>
                <w:bCs w:val="0"/>
                <w:kern w:val="2"/>
                <w:sz w:val="32"/>
                <w:szCs w:val="32"/>
                <w:vertAlign w:val="baseline"/>
                <w:lang w:val="en-US" w:eastAsia="zh-CN" w:bidi="ar-SA"/>
              </w:rPr>
            </w:pPr>
            <w:r>
              <w:rPr>
                <w:rFonts w:hint="default" w:ascii="Times New Roman" w:hAnsi="Times New Roman" w:eastAsia="方正仿宋_GB2312" w:cs="Times New Roman"/>
                <w:b w:val="0"/>
                <w:bCs w:val="0"/>
                <w:sz w:val="32"/>
                <w:szCs w:val="32"/>
                <w:vertAlign w:val="baseline"/>
                <w:lang w:val="en-US" w:eastAsia="zh-CN"/>
              </w:rPr>
              <w:t>方  琍</w:t>
            </w:r>
          </w:p>
        </w:tc>
        <w:tc>
          <w:tcPr>
            <w:tcW w:w="1361" w:type="dxa"/>
            <w:tcBorders>
              <w:tl2br w:val="nil"/>
              <w:tr2bl w:val="nil"/>
            </w:tcBorders>
            <w:vAlign w:val="top"/>
          </w:tcPr>
          <w:p w14:paraId="32EE4FB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仿宋_GB2312" w:cs="Times New Roman"/>
                <w:b w:val="0"/>
                <w:bCs w:val="0"/>
                <w:kern w:val="2"/>
                <w:sz w:val="32"/>
                <w:szCs w:val="32"/>
                <w:vertAlign w:val="baseline"/>
                <w:lang w:val="en-US" w:eastAsia="zh-CN" w:bidi="ar-SA"/>
              </w:rPr>
            </w:pPr>
            <w:r>
              <w:rPr>
                <w:rFonts w:hint="default" w:ascii="Times New Roman" w:hAnsi="Times New Roman" w:eastAsia="方正仿宋_GB2312" w:cs="Times New Roman"/>
                <w:b w:val="0"/>
                <w:bCs w:val="0"/>
                <w:sz w:val="32"/>
                <w:szCs w:val="32"/>
                <w:vertAlign w:val="baseline"/>
                <w:lang w:val="en-US" w:eastAsia="zh-CN"/>
              </w:rPr>
              <w:t>汪顺泉</w:t>
            </w:r>
          </w:p>
        </w:tc>
        <w:tc>
          <w:tcPr>
            <w:tcW w:w="1361" w:type="dxa"/>
            <w:tcBorders>
              <w:tl2br w:val="nil"/>
              <w:tr2bl w:val="nil"/>
            </w:tcBorders>
            <w:vAlign w:val="top"/>
          </w:tcPr>
          <w:p w14:paraId="6A27AFE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仿宋_GB2312" w:cs="Times New Roman"/>
                <w:b w:val="0"/>
                <w:bCs w:val="0"/>
                <w:kern w:val="2"/>
                <w:sz w:val="32"/>
                <w:szCs w:val="32"/>
                <w:vertAlign w:val="baseline"/>
                <w:lang w:val="en-US" w:eastAsia="zh-CN" w:bidi="ar-SA"/>
              </w:rPr>
            </w:pPr>
            <w:r>
              <w:rPr>
                <w:rFonts w:hint="default" w:ascii="Times New Roman" w:hAnsi="Times New Roman" w:eastAsia="方正仿宋_GB2312" w:cs="Times New Roman"/>
                <w:b w:val="0"/>
                <w:bCs w:val="0"/>
                <w:sz w:val="32"/>
                <w:szCs w:val="32"/>
                <w:vertAlign w:val="baseline"/>
                <w:lang w:val="en-US" w:eastAsia="zh-CN"/>
              </w:rPr>
              <w:t>詹有成</w:t>
            </w:r>
          </w:p>
        </w:tc>
        <w:tc>
          <w:tcPr>
            <w:tcW w:w="1361" w:type="dxa"/>
            <w:tcBorders>
              <w:tl2br w:val="nil"/>
              <w:tr2bl w:val="nil"/>
            </w:tcBorders>
            <w:vAlign w:val="top"/>
          </w:tcPr>
          <w:p w14:paraId="1D1B396E">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仿宋_GB2312" w:cs="Times New Roman"/>
                <w:b w:val="0"/>
                <w:bCs w:val="0"/>
                <w:kern w:val="2"/>
                <w:sz w:val="32"/>
                <w:szCs w:val="32"/>
                <w:vertAlign w:val="baseline"/>
                <w:lang w:val="en-US" w:eastAsia="zh-CN" w:bidi="ar-SA"/>
              </w:rPr>
            </w:pPr>
            <w:r>
              <w:rPr>
                <w:rFonts w:hint="default" w:ascii="Times New Roman" w:hAnsi="Times New Roman" w:eastAsia="方正仿宋_GB2312" w:cs="Times New Roman"/>
                <w:b w:val="0"/>
                <w:bCs w:val="0"/>
                <w:sz w:val="32"/>
                <w:szCs w:val="32"/>
                <w:vertAlign w:val="baseline"/>
                <w:lang w:val="en-US" w:eastAsia="zh-CN"/>
              </w:rPr>
              <w:t>程  涛</w:t>
            </w:r>
          </w:p>
        </w:tc>
        <w:tc>
          <w:tcPr>
            <w:tcW w:w="1361" w:type="dxa"/>
            <w:tcBorders>
              <w:tl2br w:val="nil"/>
              <w:tr2bl w:val="nil"/>
            </w:tcBorders>
            <w:vAlign w:val="top"/>
          </w:tcPr>
          <w:p w14:paraId="752A980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仿宋_GB2312" w:cs="Times New Roman"/>
                <w:b w:val="0"/>
                <w:bCs w:val="0"/>
                <w:kern w:val="2"/>
                <w:sz w:val="32"/>
                <w:szCs w:val="32"/>
                <w:vertAlign w:val="baseline"/>
                <w:lang w:val="en-US" w:eastAsia="zh-CN" w:bidi="ar-SA"/>
              </w:rPr>
            </w:pPr>
            <w:r>
              <w:rPr>
                <w:rFonts w:hint="default" w:ascii="Times New Roman" w:hAnsi="Times New Roman" w:eastAsia="方正仿宋_GB2312" w:cs="Times New Roman"/>
                <w:b w:val="0"/>
                <w:bCs w:val="0"/>
                <w:sz w:val="32"/>
                <w:szCs w:val="32"/>
                <w:vertAlign w:val="baseline"/>
                <w:lang w:val="en-US" w:eastAsia="zh-CN"/>
              </w:rPr>
              <w:t>凌巍然</w:t>
            </w:r>
          </w:p>
        </w:tc>
      </w:tr>
      <w:tr w14:paraId="27C5F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61" w:type="dxa"/>
            <w:vMerge w:val="continue"/>
            <w:tcBorders>
              <w:tl2br w:val="nil"/>
              <w:tr2bl w:val="nil"/>
            </w:tcBorders>
            <w:vAlign w:val="top"/>
          </w:tcPr>
          <w:p w14:paraId="62468DA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楷体_GBK" w:cs="Times New Roman"/>
                <w:b/>
                <w:bCs/>
                <w:kern w:val="2"/>
                <w:sz w:val="32"/>
                <w:szCs w:val="32"/>
                <w:vertAlign w:val="baseline"/>
                <w:lang w:val="en-US" w:eastAsia="zh-CN" w:bidi="ar-SA"/>
              </w:rPr>
            </w:pPr>
          </w:p>
        </w:tc>
        <w:tc>
          <w:tcPr>
            <w:tcW w:w="1361" w:type="dxa"/>
            <w:tcBorders>
              <w:tl2br w:val="nil"/>
              <w:tr2bl w:val="nil"/>
            </w:tcBorders>
            <w:vAlign w:val="top"/>
          </w:tcPr>
          <w:p w14:paraId="795754B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仿宋_GB2312" w:cs="Times New Roman"/>
                <w:b w:val="0"/>
                <w:bCs w:val="0"/>
                <w:kern w:val="2"/>
                <w:sz w:val="32"/>
                <w:szCs w:val="32"/>
                <w:vertAlign w:val="baseline"/>
                <w:lang w:val="en-US" w:eastAsia="zh-CN" w:bidi="ar-SA"/>
              </w:rPr>
            </w:pPr>
            <w:r>
              <w:rPr>
                <w:rFonts w:hint="default" w:ascii="Times New Roman" w:hAnsi="Times New Roman" w:eastAsia="方正仿宋_GB2312" w:cs="Times New Roman"/>
                <w:b w:val="0"/>
                <w:bCs w:val="0"/>
                <w:sz w:val="32"/>
                <w:szCs w:val="32"/>
                <w:vertAlign w:val="baseline"/>
                <w:lang w:val="en-US" w:eastAsia="zh-CN"/>
              </w:rPr>
              <w:t>黄方略</w:t>
            </w:r>
          </w:p>
        </w:tc>
        <w:tc>
          <w:tcPr>
            <w:tcW w:w="1361" w:type="dxa"/>
            <w:tcBorders>
              <w:tl2br w:val="nil"/>
              <w:tr2bl w:val="nil"/>
            </w:tcBorders>
            <w:vAlign w:val="top"/>
          </w:tcPr>
          <w:p w14:paraId="531191A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仿宋_GB2312" w:cs="Times New Roman"/>
                <w:b w:val="0"/>
                <w:bCs w:val="0"/>
                <w:kern w:val="2"/>
                <w:sz w:val="32"/>
                <w:szCs w:val="32"/>
                <w:vertAlign w:val="baseline"/>
                <w:lang w:val="en-US" w:eastAsia="zh-CN" w:bidi="ar-SA"/>
              </w:rPr>
            </w:pPr>
            <w:r>
              <w:rPr>
                <w:rFonts w:hint="default" w:ascii="Times New Roman" w:hAnsi="Times New Roman" w:eastAsia="方正仿宋_GB2312" w:cs="Times New Roman"/>
                <w:b w:val="0"/>
                <w:bCs w:val="0"/>
                <w:sz w:val="32"/>
                <w:szCs w:val="32"/>
                <w:vertAlign w:val="baseline"/>
                <w:lang w:val="en-US" w:eastAsia="zh-CN"/>
              </w:rPr>
              <w:t>江  程</w:t>
            </w:r>
          </w:p>
        </w:tc>
        <w:tc>
          <w:tcPr>
            <w:tcW w:w="1361" w:type="dxa"/>
            <w:tcBorders>
              <w:tl2br w:val="nil"/>
              <w:tr2bl w:val="nil"/>
            </w:tcBorders>
            <w:vAlign w:val="top"/>
          </w:tcPr>
          <w:p w14:paraId="693DDC3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仿宋_GB2312" w:cs="Times New Roman"/>
                <w:b w:val="0"/>
                <w:bCs w:val="0"/>
                <w:kern w:val="2"/>
                <w:sz w:val="32"/>
                <w:szCs w:val="32"/>
                <w:vertAlign w:val="baseline"/>
                <w:lang w:val="en-US" w:eastAsia="zh-CN" w:bidi="ar-SA"/>
              </w:rPr>
            </w:pPr>
            <w:r>
              <w:rPr>
                <w:rFonts w:hint="default" w:ascii="Times New Roman" w:hAnsi="Times New Roman" w:eastAsia="方正仿宋_GB2312" w:cs="Times New Roman"/>
                <w:b w:val="0"/>
                <w:bCs w:val="0"/>
                <w:sz w:val="32"/>
                <w:szCs w:val="32"/>
                <w:vertAlign w:val="baseline"/>
                <w:lang w:val="en-US" w:eastAsia="zh-CN"/>
              </w:rPr>
              <w:t>汪卫东</w:t>
            </w:r>
          </w:p>
        </w:tc>
        <w:tc>
          <w:tcPr>
            <w:tcW w:w="1361" w:type="dxa"/>
            <w:tcBorders>
              <w:tl2br w:val="nil"/>
              <w:tr2bl w:val="nil"/>
            </w:tcBorders>
            <w:vAlign w:val="top"/>
          </w:tcPr>
          <w:p w14:paraId="02F5100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仿宋_GB2312" w:cs="Times New Roman"/>
                <w:b w:val="0"/>
                <w:bCs w:val="0"/>
                <w:kern w:val="2"/>
                <w:sz w:val="32"/>
                <w:szCs w:val="32"/>
                <w:vertAlign w:val="baseline"/>
                <w:lang w:val="en-US" w:eastAsia="zh-CN" w:bidi="ar-SA"/>
              </w:rPr>
            </w:pPr>
          </w:p>
        </w:tc>
        <w:tc>
          <w:tcPr>
            <w:tcW w:w="1361" w:type="dxa"/>
            <w:tcBorders>
              <w:tl2br w:val="nil"/>
              <w:tr2bl w:val="nil"/>
            </w:tcBorders>
            <w:vAlign w:val="top"/>
          </w:tcPr>
          <w:p w14:paraId="31DB359E">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仿宋_GB2312" w:cs="Times New Roman"/>
                <w:b w:val="0"/>
                <w:bCs w:val="0"/>
                <w:sz w:val="32"/>
                <w:szCs w:val="32"/>
                <w:vertAlign w:val="baseline"/>
              </w:rPr>
            </w:pPr>
          </w:p>
        </w:tc>
      </w:tr>
      <w:tr w14:paraId="6D578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61" w:type="dxa"/>
            <w:tcBorders>
              <w:tl2br w:val="nil"/>
              <w:tr2bl w:val="nil"/>
            </w:tcBorders>
            <w:vAlign w:val="top"/>
          </w:tcPr>
          <w:p w14:paraId="4C6D6BCD">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楷体_GBK" w:cs="Times New Roman"/>
                <w:b/>
                <w:bCs/>
                <w:kern w:val="2"/>
                <w:sz w:val="32"/>
                <w:szCs w:val="32"/>
                <w:vertAlign w:val="baseline"/>
                <w:lang w:val="en-US" w:eastAsia="zh-CN" w:bidi="ar-SA"/>
              </w:rPr>
            </w:pPr>
            <w:r>
              <w:rPr>
                <w:rFonts w:hint="default" w:ascii="Times New Roman" w:hAnsi="Times New Roman" w:eastAsia="方正楷体_GBK" w:cs="Times New Roman"/>
                <w:b/>
                <w:bCs/>
                <w:sz w:val="32"/>
                <w:szCs w:val="32"/>
              </w:rPr>
              <w:t>成  员：</w:t>
            </w:r>
          </w:p>
        </w:tc>
        <w:tc>
          <w:tcPr>
            <w:tcW w:w="6805" w:type="dxa"/>
            <w:gridSpan w:val="5"/>
            <w:tcBorders>
              <w:tl2br w:val="nil"/>
              <w:tr2bl w:val="nil"/>
            </w:tcBorders>
            <w:vAlign w:val="top"/>
          </w:tcPr>
          <w:p w14:paraId="64699D06">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Times New Roman" w:hAnsi="Times New Roman" w:eastAsia="方正仿宋_GB2312" w:cs="Times New Roman"/>
                <w:b w:val="0"/>
                <w:bCs w:val="0"/>
                <w:sz w:val="32"/>
                <w:szCs w:val="32"/>
                <w:vertAlign w:val="baseline"/>
                <w:lang w:val="en-US" w:eastAsia="zh-CN"/>
              </w:rPr>
            </w:pPr>
            <w:r>
              <w:rPr>
                <w:rFonts w:hint="default" w:ascii="Times New Roman" w:hAnsi="Times New Roman" w:eastAsia="方正仿宋_GB2312" w:cs="Times New Roman"/>
                <w:b w:val="0"/>
                <w:bCs w:val="0"/>
                <w:sz w:val="32"/>
                <w:szCs w:val="32"/>
                <w:vertAlign w:val="baseline"/>
                <w:lang w:val="en-US" w:eastAsia="zh-CN"/>
              </w:rPr>
              <w:t>开投集团、新潭镇、管委会各部门（单位）、所属事业单位、各派驻机构主要负责同志</w:t>
            </w:r>
          </w:p>
        </w:tc>
      </w:tr>
      <w:tr w14:paraId="30281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8" w:hRule="atLeast"/>
        </w:trPr>
        <w:tc>
          <w:tcPr>
            <w:tcW w:w="8166" w:type="dxa"/>
            <w:gridSpan w:val="6"/>
            <w:tcBorders>
              <w:tl2br w:val="nil"/>
              <w:tr2bl w:val="nil"/>
            </w:tcBorders>
            <w:vAlign w:val="center"/>
          </w:tcPr>
          <w:p w14:paraId="53AD1C17">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b w:val="0"/>
                <w:bCs w:val="0"/>
                <w:sz w:val="32"/>
                <w:szCs w:val="32"/>
                <w:vertAlign w:val="baseline"/>
                <w:lang w:val="en-US" w:eastAsia="zh-CN"/>
              </w:rPr>
            </w:pPr>
            <w:r>
              <w:rPr>
                <w:rFonts w:hint="default" w:ascii="Times New Roman" w:hAnsi="Times New Roman" w:eastAsia="仿宋_GB2312" w:cs="Times New Roman"/>
                <w:spacing w:val="0"/>
                <w:w w:val="100"/>
                <w:sz w:val="32"/>
                <w:szCs w:val="32"/>
                <w:lang w:val="en-US" w:eastAsia="zh-CN"/>
              </w:rPr>
              <w:t>成立</w:t>
            </w:r>
            <w:r>
              <w:rPr>
                <w:rFonts w:hint="default" w:ascii="Times New Roman" w:hAnsi="Times New Roman" w:eastAsia="仿宋_GB2312" w:cs="Times New Roman"/>
                <w:spacing w:val="0"/>
                <w:w w:val="100"/>
                <w:sz w:val="32"/>
                <w:szCs w:val="32"/>
              </w:rPr>
              <w:t>“园区转型升级攻坚年”活动领</w:t>
            </w:r>
            <w:r>
              <w:rPr>
                <w:rFonts w:hint="default" w:ascii="Times New Roman" w:hAnsi="Times New Roman" w:eastAsia="仿宋_GB2312" w:cs="Times New Roman"/>
                <w:spacing w:val="0"/>
                <w:w w:val="100"/>
                <w:sz w:val="32"/>
                <w:szCs w:val="32"/>
                <w:lang w:eastAsia="zh-CN"/>
              </w:rPr>
              <w:t>导小</w:t>
            </w:r>
            <w:r>
              <w:rPr>
                <w:rFonts w:hint="default" w:ascii="Times New Roman" w:hAnsi="Times New Roman" w:eastAsia="仿宋_GB2312" w:cs="Times New Roman"/>
                <w:spacing w:val="0"/>
                <w:w w:val="100"/>
                <w:sz w:val="32"/>
                <w:szCs w:val="32"/>
              </w:rPr>
              <w:t>组办公室</w:t>
            </w:r>
            <w:r>
              <w:rPr>
                <w:rFonts w:hint="default" w:ascii="Times New Roman" w:hAnsi="Times New Roman" w:eastAsia="仿宋_GB2312" w:cs="Times New Roman"/>
                <w:spacing w:val="0"/>
                <w:w w:val="100"/>
                <w:sz w:val="32"/>
                <w:szCs w:val="32"/>
                <w:lang w:eastAsia="zh-CN"/>
              </w:rPr>
              <w:t>，</w:t>
            </w:r>
            <w:r>
              <w:rPr>
                <w:rFonts w:hint="default" w:ascii="Times New Roman" w:hAnsi="Times New Roman" w:eastAsia="仿宋_GB2312" w:cs="Times New Roman"/>
                <w:spacing w:val="0"/>
                <w:w w:val="100"/>
                <w:sz w:val="32"/>
                <w:szCs w:val="32"/>
                <w:lang w:val="en-US" w:eastAsia="zh-CN"/>
              </w:rPr>
              <w:t>朱永进</w:t>
            </w:r>
            <w:r>
              <w:rPr>
                <w:rFonts w:hint="default" w:ascii="Times New Roman" w:hAnsi="Times New Roman" w:eastAsia="仿宋_GB2312" w:cs="Times New Roman"/>
                <w:spacing w:val="0"/>
                <w:w w:val="100"/>
                <w:sz w:val="32"/>
                <w:szCs w:val="32"/>
              </w:rPr>
              <w:t>同志兼任办公室主任</w:t>
            </w:r>
            <w:r>
              <w:rPr>
                <w:rFonts w:hint="default" w:ascii="Times New Roman" w:hAnsi="Times New Roman" w:eastAsia="仿宋_GB2312" w:cs="Times New Roman"/>
                <w:spacing w:val="0"/>
                <w:w w:val="100"/>
                <w:sz w:val="32"/>
                <w:szCs w:val="32"/>
                <w:lang w:eastAsia="zh-CN"/>
              </w:rPr>
              <w:t>，</w:t>
            </w:r>
            <w:r>
              <w:rPr>
                <w:rFonts w:hint="default" w:ascii="Times New Roman" w:hAnsi="Times New Roman" w:eastAsia="仿宋_GB2312" w:cs="Times New Roman"/>
                <w:spacing w:val="0"/>
                <w:w w:val="100"/>
                <w:sz w:val="32"/>
                <w:szCs w:val="32"/>
                <w:lang w:val="en-US" w:eastAsia="zh-CN"/>
              </w:rPr>
              <w:t>曹晓维、刘曦、陆巍同志兼任办公室副主任。</w:t>
            </w:r>
          </w:p>
        </w:tc>
      </w:tr>
    </w:tbl>
    <w:p w14:paraId="66DA1C8D">
      <w:pPr>
        <w:keepNext w:val="0"/>
        <w:keepLines w:val="0"/>
        <w:pageBreakBefore w:val="0"/>
        <w:widowControl w:val="0"/>
        <w:kinsoku/>
        <w:wordWrap/>
        <w:overflowPunct/>
        <w:topLinePunct w:val="0"/>
        <w:bidi w:val="0"/>
        <w:adjustRightInd/>
        <w:snapToGrid/>
        <w:spacing w:line="57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四、保障措施</w:t>
      </w:r>
    </w:p>
    <w:p w14:paraId="33B70964">
      <w:pPr>
        <w:keepNext w:val="0"/>
        <w:keepLines w:val="0"/>
        <w:pageBreakBefore w:val="0"/>
        <w:widowControl w:val="0"/>
        <w:kinsoku/>
        <w:wordWrap/>
        <w:overflowPunct/>
        <w:topLinePunct w:val="0"/>
        <w:bidi w:val="0"/>
        <w:adjustRightInd/>
        <w:snapToGrid/>
        <w:spacing w:line="57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sz w:val="32"/>
          <w:szCs w:val="32"/>
        </w:rPr>
        <w:t>（一）明确目标，统一思想。</w:t>
      </w:r>
      <w:bookmarkStart w:id="8" w:name="OLE_LINK6"/>
      <w:r>
        <w:rPr>
          <w:rFonts w:hint="default" w:ascii="Times New Roman" w:hAnsi="Times New Roman" w:eastAsia="仿宋_GB2312" w:cs="Times New Roman"/>
          <w:sz w:val="32"/>
          <w:szCs w:val="32"/>
        </w:rPr>
        <w:t>开展“园区转型升级攻坚年”活动</w:t>
      </w:r>
      <w:bookmarkEnd w:id="8"/>
      <w:r>
        <w:rPr>
          <w:rFonts w:hint="default" w:ascii="Times New Roman" w:hAnsi="Times New Roman" w:eastAsia="仿宋_GB2312" w:cs="Times New Roman"/>
          <w:sz w:val="32"/>
          <w:szCs w:val="32"/>
        </w:rPr>
        <w:t>，是落实市委七届七次、八次全会</w:t>
      </w:r>
      <w:r>
        <w:rPr>
          <w:rFonts w:hint="default" w:ascii="Times New Roman" w:hAnsi="Times New Roman" w:eastAsia="仿宋_GB2312" w:cs="Times New Roman"/>
          <w:sz w:val="32"/>
          <w:szCs w:val="32"/>
          <w:lang w:val="en-US" w:eastAsia="zh-CN"/>
        </w:rPr>
        <w:t>和</w:t>
      </w:r>
      <w:r>
        <w:rPr>
          <w:rFonts w:hint="default" w:ascii="Times New Roman" w:hAnsi="Times New Roman" w:eastAsia="仿宋_GB2312" w:cs="Times New Roman"/>
          <w:sz w:val="32"/>
          <w:szCs w:val="32"/>
        </w:rPr>
        <w:t>市两会</w:t>
      </w:r>
      <w:r>
        <w:rPr>
          <w:rFonts w:hint="default" w:ascii="Times New Roman" w:hAnsi="Times New Roman" w:eastAsia="仿宋_GB2312" w:cs="Times New Roman"/>
          <w:sz w:val="32"/>
          <w:szCs w:val="32"/>
          <w:lang w:val="en-US" w:eastAsia="zh-CN"/>
        </w:rPr>
        <w:t>及</w:t>
      </w:r>
      <w:r>
        <w:rPr>
          <w:rFonts w:hint="default" w:ascii="Times New Roman" w:hAnsi="Times New Roman" w:eastAsia="仿宋_GB2312" w:cs="Times New Roman"/>
          <w:sz w:val="32"/>
          <w:szCs w:val="32"/>
        </w:rPr>
        <w:t>经济工作会议精神的具体举措，事关高质量完成“十四五”规划目标任务，为实现“十五五”良好开局打牢基础。特别是</w:t>
      </w:r>
      <w:r>
        <w:rPr>
          <w:rFonts w:hint="default" w:ascii="Times New Roman" w:hAnsi="Times New Roman" w:eastAsia="仿宋_GB2312" w:cs="Times New Roman"/>
          <w:sz w:val="32"/>
          <w:szCs w:val="32"/>
          <w:lang w:val="en-US" w:eastAsia="zh-CN"/>
        </w:rPr>
        <w:t>当前经济运行面临一些新情况，有外部环境不确定性的挑战，有新旧动能转换的压力</w:t>
      </w:r>
      <w:r>
        <w:rPr>
          <w:rFonts w:hint="default" w:ascii="Times New Roman" w:hAnsi="Times New Roman" w:eastAsia="仿宋_GB2312" w:cs="Times New Roman"/>
          <w:sz w:val="32"/>
          <w:szCs w:val="32"/>
        </w:rPr>
        <w:t>，高新区经济社会发展面临新形势、新任务、新要求。各级各部门要把思想和行动统一到党工委、管委会的决策部署上来，</w:t>
      </w:r>
      <w:r>
        <w:rPr>
          <w:rFonts w:hint="default" w:ascii="Times New Roman" w:hAnsi="Times New Roman" w:eastAsia="仿宋_GB2312" w:cs="Times New Roman"/>
          <w:sz w:val="32"/>
          <w:szCs w:val="32"/>
          <w:lang w:val="en-US" w:eastAsia="zh-CN"/>
        </w:rPr>
        <w:t>把活动的开展</w:t>
      </w:r>
      <w:r>
        <w:rPr>
          <w:rFonts w:hint="default" w:ascii="Times New Roman" w:hAnsi="Times New Roman" w:eastAsia="仿宋_GB2312" w:cs="Times New Roman"/>
          <w:sz w:val="32"/>
          <w:szCs w:val="32"/>
        </w:rPr>
        <w:t>转化为干事创业的思想自觉和行动自觉</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进一步坚定高质量发展的信心和决心，确保高质高效完成各项目标任务，</w:t>
      </w:r>
      <w:r>
        <w:rPr>
          <w:rFonts w:hint="default" w:ascii="Times New Roman" w:hAnsi="Times New Roman" w:eastAsia="仿宋_GB2312" w:cs="Times New Roman"/>
          <w:sz w:val="32"/>
          <w:szCs w:val="32"/>
          <w:lang w:val="en-US" w:eastAsia="zh-CN"/>
        </w:rPr>
        <w:t>保持经济社会发展良好势头</w:t>
      </w:r>
      <w:r>
        <w:rPr>
          <w:rFonts w:hint="default" w:ascii="Times New Roman" w:hAnsi="Times New Roman" w:eastAsia="仿宋_GB2312" w:cs="Times New Roman"/>
          <w:sz w:val="32"/>
          <w:szCs w:val="32"/>
        </w:rPr>
        <w:t>。</w:t>
      </w:r>
    </w:p>
    <w:p w14:paraId="2BDBAEFC">
      <w:pPr>
        <w:keepNext w:val="0"/>
        <w:keepLines w:val="0"/>
        <w:pageBreakBefore w:val="0"/>
        <w:widowControl w:val="0"/>
        <w:kinsoku/>
        <w:wordWrap/>
        <w:overflowPunct/>
        <w:topLinePunct w:val="0"/>
        <w:bidi w:val="0"/>
        <w:adjustRightInd/>
        <w:snapToGrid/>
        <w:spacing w:line="57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sz w:val="32"/>
          <w:szCs w:val="32"/>
        </w:rPr>
        <w:t>（二）落实责任，主动担当。</w:t>
      </w:r>
      <w:r>
        <w:rPr>
          <w:rFonts w:hint="default" w:ascii="Times New Roman" w:hAnsi="Times New Roman" w:eastAsia="仿宋_GB2312" w:cs="Times New Roman"/>
          <w:sz w:val="32"/>
          <w:szCs w:val="32"/>
        </w:rPr>
        <w:t>各项</w:t>
      </w:r>
      <w:r>
        <w:rPr>
          <w:rFonts w:hint="default" w:ascii="Times New Roman" w:hAnsi="Times New Roman" w:eastAsia="仿宋_GB2312" w:cs="Times New Roman"/>
          <w:sz w:val="32"/>
          <w:szCs w:val="32"/>
          <w:lang w:val="en-US" w:eastAsia="zh-CN"/>
        </w:rPr>
        <w:t>攻坚</w:t>
      </w:r>
      <w:r>
        <w:rPr>
          <w:rFonts w:hint="default" w:ascii="Times New Roman" w:hAnsi="Times New Roman" w:eastAsia="仿宋_GB2312" w:cs="Times New Roman"/>
          <w:sz w:val="32"/>
          <w:szCs w:val="32"/>
        </w:rPr>
        <w:t>工</w:t>
      </w:r>
      <w:r>
        <w:rPr>
          <w:rFonts w:hint="default" w:ascii="Times New Roman" w:hAnsi="Times New Roman" w:eastAsia="仿宋_GB2312" w:cs="Times New Roman"/>
          <w:sz w:val="32"/>
          <w:szCs w:val="32"/>
          <w:lang w:val="en-US" w:eastAsia="zh-CN"/>
        </w:rPr>
        <w:t>程</w:t>
      </w:r>
      <w:r>
        <w:rPr>
          <w:rFonts w:hint="default" w:ascii="Times New Roman" w:hAnsi="Times New Roman" w:eastAsia="仿宋_GB2312" w:cs="Times New Roman"/>
          <w:sz w:val="32"/>
          <w:szCs w:val="32"/>
        </w:rPr>
        <w:t>牵头领导要根据</w:t>
      </w:r>
      <w:r>
        <w:rPr>
          <w:rFonts w:hint="default" w:ascii="Times New Roman" w:hAnsi="Times New Roman" w:eastAsia="仿宋_GB2312" w:cs="Times New Roman"/>
          <w:sz w:val="32"/>
          <w:szCs w:val="32"/>
          <w:lang w:val="en-US" w:eastAsia="zh-CN"/>
        </w:rPr>
        <w:t>行动方案，会同牵头部门要统好筹、牵好头，各</w:t>
      </w:r>
      <w:r>
        <w:rPr>
          <w:rFonts w:hint="default" w:ascii="Times New Roman" w:hAnsi="Times New Roman" w:eastAsia="仿宋_GB2312" w:cs="Times New Roman"/>
          <w:sz w:val="32"/>
          <w:szCs w:val="32"/>
        </w:rPr>
        <w:t>责任部门</w:t>
      </w:r>
      <w:r>
        <w:rPr>
          <w:rFonts w:hint="default" w:ascii="Times New Roman" w:hAnsi="Times New Roman" w:eastAsia="仿宋_GB2312" w:cs="Times New Roman"/>
          <w:sz w:val="32"/>
          <w:szCs w:val="32"/>
          <w:lang w:val="en-US" w:eastAsia="zh-CN"/>
        </w:rPr>
        <w:t>要再动员、再部署、再攻坚</w:t>
      </w:r>
      <w:r>
        <w:rPr>
          <w:rFonts w:hint="default" w:ascii="Times New Roman" w:hAnsi="Times New Roman" w:eastAsia="仿宋_GB2312" w:cs="Times New Roman"/>
          <w:sz w:val="32"/>
          <w:szCs w:val="32"/>
        </w:rPr>
        <w:t>，要坚持“月调度、季小结、半年回头看”，深入基层、靠前指挥，对工作推进过程中发现的问题及时专题协调。各责任部门要切实发挥职能，主动担当作为，</w:t>
      </w:r>
      <w:r>
        <w:rPr>
          <w:rFonts w:hint="default" w:ascii="Times New Roman" w:hAnsi="Times New Roman" w:eastAsia="仿宋_GB2312" w:cs="Times New Roman"/>
          <w:sz w:val="32"/>
          <w:szCs w:val="32"/>
          <w:lang w:val="en-US" w:eastAsia="zh-CN"/>
        </w:rPr>
        <w:t>各牵头部门要</w:t>
      </w:r>
      <w:r>
        <w:rPr>
          <w:rFonts w:hint="default" w:ascii="Times New Roman" w:hAnsi="Times New Roman" w:eastAsia="仿宋_GB2312" w:cs="Times New Roman"/>
          <w:sz w:val="32"/>
          <w:szCs w:val="32"/>
        </w:rPr>
        <w:t>动态汇总掌握和分析研判推进情况，及时落实各项工作任务。</w:t>
      </w:r>
    </w:p>
    <w:p w14:paraId="452ADB98">
      <w:pPr>
        <w:keepNext w:val="0"/>
        <w:keepLines w:val="0"/>
        <w:pageBreakBefore w:val="0"/>
        <w:widowControl w:val="0"/>
        <w:kinsoku/>
        <w:wordWrap/>
        <w:overflowPunct/>
        <w:topLinePunct w:val="0"/>
        <w:bidi w:val="0"/>
        <w:adjustRightInd/>
        <w:snapToGrid/>
        <w:spacing w:line="57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楷体" w:cs="Times New Roman"/>
          <w:b/>
          <w:sz w:val="32"/>
          <w:szCs w:val="32"/>
        </w:rPr>
        <w:t>（三）加强考核，目标督查。</w:t>
      </w:r>
      <w:r>
        <w:rPr>
          <w:rFonts w:hint="default" w:ascii="Times New Roman" w:hAnsi="Times New Roman" w:eastAsia="仿宋_GB2312" w:cs="Times New Roman"/>
          <w:sz w:val="32"/>
          <w:szCs w:val="32"/>
          <w:lang w:val="en-US" w:eastAsia="zh-CN"/>
        </w:rPr>
        <w:t>纪检监察室</w:t>
      </w:r>
      <w:r>
        <w:rPr>
          <w:rFonts w:hint="default" w:ascii="Times New Roman" w:hAnsi="Times New Roman" w:eastAsia="仿宋_GB2312" w:cs="Times New Roman"/>
          <w:sz w:val="32"/>
          <w:szCs w:val="32"/>
        </w:rPr>
        <w:t>和</w:t>
      </w:r>
      <w:r>
        <w:rPr>
          <w:rFonts w:hint="default" w:ascii="Times New Roman" w:hAnsi="Times New Roman" w:eastAsia="仿宋_GB2312" w:cs="Times New Roman"/>
          <w:sz w:val="32"/>
          <w:szCs w:val="32"/>
          <w:lang w:val="en-US" w:eastAsia="zh-CN"/>
        </w:rPr>
        <w:t>督查组</w:t>
      </w:r>
      <w:r>
        <w:rPr>
          <w:rFonts w:hint="default" w:ascii="Times New Roman" w:hAnsi="Times New Roman" w:eastAsia="仿宋_GB2312" w:cs="Times New Roman"/>
          <w:sz w:val="32"/>
          <w:szCs w:val="32"/>
        </w:rPr>
        <w:t>要将“园区转型升级攻坚年”活动开展情况作为督查重点，精准掌握工作推进和落实情况。</w:t>
      </w:r>
      <w:r>
        <w:rPr>
          <w:rFonts w:hint="default" w:ascii="Times New Roman" w:hAnsi="Times New Roman" w:eastAsia="仿宋_GB2312" w:cs="Times New Roman"/>
          <w:sz w:val="32"/>
          <w:szCs w:val="32"/>
          <w:lang w:val="en-US" w:eastAsia="zh-CN"/>
        </w:rPr>
        <w:t>纪检监察室会同党群部要</w:t>
      </w:r>
      <w:r>
        <w:rPr>
          <w:rFonts w:hint="default" w:ascii="Times New Roman" w:hAnsi="Times New Roman" w:eastAsia="仿宋_GB2312" w:cs="Times New Roman"/>
          <w:sz w:val="32"/>
          <w:szCs w:val="32"/>
        </w:rPr>
        <w:t>对工作作风不实、不敢担当、推诿扯皮的干部，由纪工委按规定进行问责。</w:t>
      </w:r>
    </w:p>
    <w:p w14:paraId="22EBE59D">
      <w:pPr>
        <w:keepNext w:val="0"/>
        <w:keepLines w:val="0"/>
        <w:pageBreakBefore w:val="0"/>
        <w:widowControl w:val="0"/>
        <w:kinsoku/>
        <w:wordWrap/>
        <w:overflowPunct/>
        <w:topLinePunct w:val="0"/>
        <w:bidi w:val="0"/>
        <w:adjustRightInd/>
        <w:snapToGrid/>
        <w:spacing w:line="570" w:lineRule="exact"/>
        <w:textAlignment w:val="auto"/>
        <w:rPr>
          <w:rFonts w:hint="default" w:ascii="Times New Roman" w:hAnsi="Times New Roman" w:eastAsia="仿宋_GB2312" w:cs="Times New Roman"/>
          <w:sz w:val="32"/>
          <w:szCs w:val="32"/>
        </w:rPr>
      </w:pPr>
    </w:p>
    <w:p w14:paraId="2D1FF0EE">
      <w:pPr>
        <w:keepNext w:val="0"/>
        <w:keepLines w:val="0"/>
        <w:pageBreakBefore w:val="0"/>
        <w:widowControl w:val="0"/>
        <w:kinsoku/>
        <w:wordWrap/>
        <w:overflowPunct/>
        <w:topLinePunct w:val="0"/>
        <w:bidi w:val="0"/>
        <w:adjustRightInd/>
        <w:snapToGrid/>
        <w:spacing w:line="570" w:lineRule="exact"/>
        <w:ind w:firstLine="640" w:firstLineChars="200"/>
        <w:textAlignment w:val="auto"/>
        <w:rPr>
          <w:rFonts w:hint="default" w:ascii="Times New Roman" w:hAnsi="Times New Roman" w:eastAsia="仿宋_GB2312" w:cs="Times New Roman"/>
          <w:w w:val="100"/>
          <w:sz w:val="32"/>
          <w:szCs w:val="32"/>
        </w:rPr>
      </w:pPr>
      <w:r>
        <w:rPr>
          <w:rFonts w:hint="default" w:ascii="Times New Roman" w:hAnsi="Times New Roman" w:eastAsia="仿宋_GB2312" w:cs="Times New Roman"/>
          <w:w w:val="100"/>
          <w:sz w:val="32"/>
          <w:szCs w:val="32"/>
        </w:rPr>
        <w:t>附件：</w:t>
      </w:r>
      <w:bookmarkStart w:id="9" w:name="_Hlk61555654"/>
      <w:r>
        <w:rPr>
          <w:rFonts w:hint="default" w:ascii="Times New Roman" w:hAnsi="Times New Roman" w:eastAsia="仿宋_GB2312" w:cs="Times New Roman"/>
          <w:w w:val="100"/>
          <w:sz w:val="32"/>
          <w:szCs w:val="32"/>
          <w:lang w:val="en-US" w:eastAsia="zh-CN"/>
        </w:rPr>
        <w:t>1.</w:t>
      </w:r>
      <w:r>
        <w:rPr>
          <w:rFonts w:hint="default" w:ascii="Times New Roman" w:hAnsi="Times New Roman" w:eastAsia="仿宋_GB2312" w:cs="Times New Roman"/>
          <w:w w:val="100"/>
          <w:sz w:val="32"/>
          <w:szCs w:val="32"/>
        </w:rPr>
        <w:t>“</w:t>
      </w:r>
      <w:r>
        <w:rPr>
          <w:rFonts w:hint="default" w:ascii="Times New Roman" w:hAnsi="Times New Roman" w:eastAsia="仿宋_GB2312" w:cs="Times New Roman"/>
          <w:w w:val="100"/>
          <w:sz w:val="32"/>
          <w:szCs w:val="32"/>
          <w:lang w:val="en-US" w:eastAsia="zh-CN"/>
        </w:rPr>
        <w:t>科技创新</w:t>
      </w:r>
      <w:r>
        <w:rPr>
          <w:rFonts w:hint="default" w:ascii="Times New Roman" w:hAnsi="Times New Roman" w:eastAsia="仿宋_GB2312" w:cs="Times New Roman"/>
          <w:w w:val="100"/>
          <w:sz w:val="32"/>
          <w:szCs w:val="32"/>
        </w:rPr>
        <w:t>提能级”攻坚工程</w:t>
      </w:r>
      <w:r>
        <w:rPr>
          <w:rFonts w:hint="default" w:ascii="Times New Roman" w:hAnsi="Times New Roman" w:eastAsia="仿宋_GB2312" w:cs="Times New Roman"/>
          <w:w w:val="100"/>
          <w:sz w:val="32"/>
          <w:szCs w:val="32"/>
          <w:lang w:val="en-US" w:eastAsia="zh-CN"/>
        </w:rPr>
        <w:t>行动方案</w:t>
      </w:r>
      <w:bookmarkEnd w:id="9"/>
    </w:p>
    <w:p w14:paraId="004FEA4E">
      <w:pPr>
        <w:keepNext w:val="0"/>
        <w:keepLines w:val="0"/>
        <w:pageBreakBefore w:val="0"/>
        <w:widowControl w:val="0"/>
        <w:kinsoku/>
        <w:wordWrap/>
        <w:overflowPunct/>
        <w:topLinePunct w:val="0"/>
        <w:bidi w:val="0"/>
        <w:adjustRightInd/>
        <w:snapToGrid/>
        <w:spacing w:line="570" w:lineRule="exact"/>
        <w:ind w:firstLine="1600" w:firstLineChars="500"/>
        <w:textAlignment w:val="auto"/>
        <w:rPr>
          <w:rFonts w:hint="default" w:ascii="Times New Roman" w:hAnsi="Times New Roman" w:eastAsia="仿宋_GB2312" w:cs="Times New Roman"/>
          <w:w w:val="100"/>
          <w:sz w:val="32"/>
          <w:szCs w:val="32"/>
          <w:lang w:eastAsia="zh-CN"/>
        </w:rPr>
      </w:pPr>
      <w:r>
        <w:rPr>
          <w:rFonts w:hint="default" w:ascii="Times New Roman" w:hAnsi="Times New Roman" w:eastAsia="仿宋_GB2312" w:cs="Times New Roman"/>
          <w:w w:val="100"/>
          <w:sz w:val="32"/>
          <w:szCs w:val="32"/>
          <w:lang w:val="en-US" w:eastAsia="zh-CN"/>
        </w:rPr>
        <w:t>2.</w:t>
      </w:r>
      <w:r>
        <w:rPr>
          <w:rFonts w:hint="default" w:ascii="Times New Roman" w:hAnsi="Times New Roman" w:eastAsia="仿宋_GB2312" w:cs="Times New Roman"/>
          <w:w w:val="100"/>
          <w:sz w:val="32"/>
          <w:szCs w:val="32"/>
          <w:lang w:eastAsia="zh-CN"/>
        </w:rPr>
        <w:t>“项目推进蓄活力”攻坚工程</w:t>
      </w:r>
      <w:r>
        <w:rPr>
          <w:rFonts w:hint="default" w:ascii="Times New Roman" w:hAnsi="Times New Roman" w:eastAsia="仿宋_GB2312" w:cs="Times New Roman"/>
          <w:w w:val="100"/>
          <w:sz w:val="32"/>
          <w:szCs w:val="32"/>
          <w:lang w:val="en-US" w:eastAsia="zh-CN"/>
        </w:rPr>
        <w:t>行动方案</w:t>
      </w:r>
    </w:p>
    <w:p w14:paraId="22FAF636">
      <w:pPr>
        <w:keepNext w:val="0"/>
        <w:keepLines w:val="0"/>
        <w:pageBreakBefore w:val="0"/>
        <w:widowControl w:val="0"/>
        <w:kinsoku/>
        <w:wordWrap/>
        <w:overflowPunct/>
        <w:topLinePunct w:val="0"/>
        <w:bidi w:val="0"/>
        <w:adjustRightInd/>
        <w:snapToGrid/>
        <w:spacing w:line="570" w:lineRule="exact"/>
        <w:ind w:firstLine="1600" w:firstLineChars="500"/>
        <w:textAlignment w:val="auto"/>
        <w:rPr>
          <w:rFonts w:hint="default" w:ascii="Times New Roman" w:hAnsi="Times New Roman" w:eastAsia="仿宋_GB2312" w:cs="Times New Roman"/>
          <w:w w:val="100"/>
          <w:sz w:val="32"/>
          <w:szCs w:val="32"/>
          <w:lang w:eastAsia="zh-CN"/>
        </w:rPr>
      </w:pPr>
      <w:r>
        <w:rPr>
          <w:rFonts w:hint="default" w:ascii="Times New Roman" w:hAnsi="Times New Roman" w:eastAsia="仿宋_GB2312" w:cs="Times New Roman"/>
          <w:w w:val="100"/>
          <w:sz w:val="32"/>
          <w:szCs w:val="32"/>
          <w:lang w:val="en-US" w:eastAsia="zh-CN"/>
        </w:rPr>
        <w:t>3.</w:t>
      </w:r>
      <w:r>
        <w:rPr>
          <w:rFonts w:hint="default" w:ascii="Times New Roman" w:hAnsi="Times New Roman" w:eastAsia="仿宋_GB2312" w:cs="Times New Roman"/>
          <w:w w:val="100"/>
          <w:sz w:val="32"/>
          <w:szCs w:val="32"/>
          <w:lang w:eastAsia="zh-CN"/>
        </w:rPr>
        <w:t>“双招双引增动能”攻坚工程</w:t>
      </w:r>
      <w:r>
        <w:rPr>
          <w:rFonts w:hint="default" w:ascii="Times New Roman" w:hAnsi="Times New Roman" w:eastAsia="仿宋_GB2312" w:cs="Times New Roman"/>
          <w:w w:val="100"/>
          <w:sz w:val="32"/>
          <w:szCs w:val="32"/>
          <w:lang w:val="en-US" w:eastAsia="zh-CN"/>
        </w:rPr>
        <w:t>行动方案</w:t>
      </w:r>
    </w:p>
    <w:p w14:paraId="0BFEF3B4">
      <w:pPr>
        <w:keepNext w:val="0"/>
        <w:keepLines w:val="0"/>
        <w:pageBreakBefore w:val="0"/>
        <w:widowControl w:val="0"/>
        <w:kinsoku/>
        <w:wordWrap/>
        <w:overflowPunct/>
        <w:topLinePunct w:val="0"/>
        <w:bidi w:val="0"/>
        <w:adjustRightInd/>
        <w:snapToGrid/>
        <w:spacing w:line="570" w:lineRule="exact"/>
        <w:ind w:firstLine="1600" w:firstLineChars="500"/>
        <w:textAlignment w:val="auto"/>
        <w:rPr>
          <w:rFonts w:hint="default" w:ascii="Times New Roman" w:hAnsi="Times New Roman" w:eastAsia="仿宋_GB2312" w:cs="Times New Roman"/>
          <w:w w:val="100"/>
          <w:sz w:val="32"/>
          <w:szCs w:val="32"/>
          <w:lang w:eastAsia="zh-CN"/>
        </w:rPr>
      </w:pPr>
      <w:r>
        <w:rPr>
          <w:rFonts w:hint="default" w:ascii="Times New Roman" w:hAnsi="Times New Roman" w:eastAsia="仿宋_GB2312" w:cs="Times New Roman"/>
          <w:w w:val="100"/>
          <w:sz w:val="32"/>
          <w:szCs w:val="32"/>
          <w:lang w:val="en-US" w:eastAsia="zh-CN"/>
        </w:rPr>
        <w:t>4.</w:t>
      </w:r>
      <w:r>
        <w:rPr>
          <w:rFonts w:hint="default" w:ascii="Times New Roman" w:hAnsi="Times New Roman" w:eastAsia="仿宋_GB2312" w:cs="Times New Roman"/>
          <w:w w:val="100"/>
          <w:sz w:val="32"/>
          <w:szCs w:val="32"/>
          <w:lang w:eastAsia="zh-CN"/>
        </w:rPr>
        <w:t>“要素保障强承载”攻坚工程行动方案</w:t>
      </w:r>
    </w:p>
    <w:p w14:paraId="7A80CBAF">
      <w:pPr>
        <w:keepNext w:val="0"/>
        <w:keepLines w:val="0"/>
        <w:pageBreakBefore w:val="0"/>
        <w:widowControl w:val="0"/>
        <w:kinsoku/>
        <w:wordWrap/>
        <w:overflowPunct/>
        <w:topLinePunct w:val="0"/>
        <w:bidi w:val="0"/>
        <w:adjustRightInd/>
        <w:snapToGrid/>
        <w:spacing w:line="570" w:lineRule="exact"/>
        <w:ind w:firstLine="1600" w:firstLineChars="500"/>
        <w:textAlignment w:val="auto"/>
        <w:rPr>
          <w:rFonts w:hint="default" w:ascii="Times New Roman" w:hAnsi="Times New Roman" w:eastAsia="仿宋_GB2312" w:cs="Times New Roman"/>
          <w:w w:val="100"/>
          <w:sz w:val="32"/>
          <w:szCs w:val="32"/>
          <w:lang w:eastAsia="zh-CN"/>
        </w:rPr>
      </w:pPr>
      <w:r>
        <w:rPr>
          <w:rFonts w:hint="default" w:ascii="Times New Roman" w:hAnsi="Times New Roman" w:eastAsia="仿宋_GB2312" w:cs="Times New Roman"/>
          <w:w w:val="100"/>
          <w:sz w:val="32"/>
          <w:szCs w:val="32"/>
          <w:lang w:val="en-US" w:eastAsia="zh-CN"/>
        </w:rPr>
        <w:t>5.</w:t>
      </w:r>
      <w:r>
        <w:rPr>
          <w:rFonts w:hint="default" w:ascii="Times New Roman" w:hAnsi="Times New Roman" w:eastAsia="仿宋_GB2312" w:cs="Times New Roman"/>
          <w:w w:val="100"/>
          <w:sz w:val="32"/>
          <w:szCs w:val="32"/>
          <w:lang w:eastAsia="zh-CN"/>
        </w:rPr>
        <w:t>“税源培育优质量”攻坚工程行动方案</w:t>
      </w:r>
    </w:p>
    <w:p w14:paraId="49CCB9D5">
      <w:pPr>
        <w:keepNext w:val="0"/>
        <w:keepLines w:val="0"/>
        <w:pageBreakBefore w:val="0"/>
        <w:widowControl w:val="0"/>
        <w:kinsoku/>
        <w:wordWrap/>
        <w:overflowPunct/>
        <w:topLinePunct w:val="0"/>
        <w:bidi w:val="0"/>
        <w:adjustRightInd/>
        <w:snapToGrid/>
        <w:spacing w:line="570" w:lineRule="exact"/>
        <w:ind w:firstLine="1600" w:firstLineChars="500"/>
        <w:textAlignment w:val="auto"/>
        <w:rPr>
          <w:rFonts w:hint="default" w:ascii="Times New Roman" w:hAnsi="Times New Roman" w:eastAsia="仿宋_GB2312" w:cs="Times New Roman"/>
          <w:w w:val="100"/>
          <w:sz w:val="32"/>
          <w:szCs w:val="32"/>
          <w:lang w:eastAsia="zh-CN"/>
        </w:rPr>
      </w:pPr>
      <w:r>
        <w:rPr>
          <w:rFonts w:hint="default" w:ascii="Times New Roman" w:hAnsi="Times New Roman" w:eastAsia="仿宋_GB2312" w:cs="Times New Roman"/>
          <w:w w:val="100"/>
          <w:sz w:val="32"/>
          <w:szCs w:val="32"/>
          <w:lang w:val="en-US" w:eastAsia="zh-CN"/>
        </w:rPr>
        <w:t>6.</w:t>
      </w:r>
      <w:r>
        <w:rPr>
          <w:rFonts w:hint="default" w:ascii="Times New Roman" w:hAnsi="Times New Roman" w:eastAsia="仿宋_GB2312" w:cs="Times New Roman"/>
          <w:w w:val="100"/>
          <w:sz w:val="32"/>
          <w:szCs w:val="32"/>
          <w:lang w:eastAsia="zh-CN"/>
        </w:rPr>
        <w:t>“平安园区筑底板”攻坚工程行动方案</w:t>
      </w:r>
    </w:p>
    <w:p w14:paraId="3B1876DD">
      <w:pPr>
        <w:keepNext w:val="0"/>
        <w:keepLines w:val="0"/>
        <w:pageBreakBefore w:val="0"/>
        <w:widowControl w:val="0"/>
        <w:kinsoku/>
        <w:wordWrap/>
        <w:overflowPunct/>
        <w:topLinePunct w:val="0"/>
        <w:bidi w:val="0"/>
        <w:adjustRightInd/>
        <w:snapToGrid/>
        <w:spacing w:line="570" w:lineRule="exact"/>
        <w:ind w:firstLine="1600" w:firstLineChars="500"/>
        <w:textAlignment w:val="auto"/>
        <w:rPr>
          <w:rFonts w:hint="default" w:ascii="Times New Roman" w:hAnsi="Times New Roman" w:eastAsia="仿宋_GB2312" w:cs="Times New Roman"/>
          <w:w w:val="100"/>
          <w:sz w:val="32"/>
          <w:szCs w:val="32"/>
          <w:lang w:eastAsia="zh-CN"/>
        </w:rPr>
      </w:pPr>
      <w:r>
        <w:rPr>
          <w:rFonts w:hint="default" w:ascii="Times New Roman" w:hAnsi="Times New Roman" w:eastAsia="仿宋_GB2312" w:cs="Times New Roman"/>
          <w:w w:val="100"/>
          <w:sz w:val="32"/>
          <w:szCs w:val="32"/>
          <w:lang w:val="en-US" w:eastAsia="zh-CN"/>
        </w:rPr>
        <w:t>7.</w:t>
      </w:r>
      <w:r>
        <w:rPr>
          <w:rFonts w:hint="default" w:ascii="Times New Roman" w:hAnsi="Times New Roman" w:eastAsia="仿宋_GB2312" w:cs="Times New Roman"/>
          <w:w w:val="100"/>
          <w:sz w:val="32"/>
          <w:szCs w:val="32"/>
          <w:lang w:eastAsia="zh-CN"/>
        </w:rPr>
        <w:t>“党的建设聚发展”攻坚工程行动方案</w:t>
      </w:r>
    </w:p>
    <w:p w14:paraId="0D8D28A9">
      <w:pPr>
        <w:pStyle w:val="4"/>
        <w:rPr>
          <w:rFonts w:hint="default" w:ascii="Times New Roman" w:hAnsi="Times New Roman" w:eastAsia="仿宋_GB2312" w:cs="Times New Roman"/>
          <w:w w:val="100"/>
          <w:sz w:val="32"/>
          <w:szCs w:val="32"/>
          <w:lang w:eastAsia="zh-CN"/>
        </w:rPr>
      </w:pPr>
    </w:p>
    <w:p w14:paraId="78DF2628">
      <w:pPr>
        <w:rPr>
          <w:rFonts w:hint="default" w:ascii="Times New Roman" w:hAnsi="Times New Roman" w:eastAsia="仿宋_GB2312" w:cs="Times New Roman"/>
          <w:w w:val="100"/>
          <w:sz w:val="32"/>
          <w:szCs w:val="32"/>
          <w:lang w:eastAsia="zh-CN"/>
        </w:rPr>
      </w:pPr>
    </w:p>
    <w:p w14:paraId="31BE7596">
      <w:pPr>
        <w:pStyle w:val="4"/>
        <w:rPr>
          <w:rFonts w:hint="default" w:ascii="Times New Roman" w:hAnsi="Times New Roman" w:eastAsia="仿宋_GB2312" w:cs="Times New Roman"/>
          <w:w w:val="100"/>
          <w:sz w:val="32"/>
          <w:szCs w:val="32"/>
          <w:lang w:eastAsia="zh-CN"/>
        </w:rPr>
      </w:pPr>
    </w:p>
    <w:p w14:paraId="4172011F">
      <w:pPr>
        <w:rPr>
          <w:rFonts w:hint="default" w:ascii="Times New Roman" w:hAnsi="Times New Roman" w:eastAsia="仿宋_GB2312" w:cs="Times New Roman"/>
          <w:w w:val="100"/>
          <w:sz w:val="32"/>
          <w:szCs w:val="32"/>
          <w:lang w:eastAsia="zh-CN"/>
        </w:rPr>
      </w:pPr>
    </w:p>
    <w:p w14:paraId="7883FCBC">
      <w:pPr>
        <w:pStyle w:val="4"/>
        <w:rPr>
          <w:rFonts w:hint="default" w:ascii="Times New Roman" w:hAnsi="Times New Roman" w:eastAsia="仿宋_GB2312" w:cs="Times New Roman"/>
          <w:w w:val="100"/>
          <w:sz w:val="32"/>
          <w:szCs w:val="32"/>
          <w:lang w:eastAsia="zh-CN"/>
        </w:rPr>
      </w:pPr>
    </w:p>
    <w:p w14:paraId="748A3C08">
      <w:pPr>
        <w:rPr>
          <w:rFonts w:hint="default" w:ascii="Times New Roman" w:hAnsi="Times New Roman" w:eastAsia="仿宋_GB2312" w:cs="Times New Roman"/>
          <w:w w:val="100"/>
          <w:sz w:val="32"/>
          <w:szCs w:val="32"/>
          <w:lang w:eastAsia="zh-CN"/>
        </w:rPr>
      </w:pPr>
    </w:p>
    <w:p w14:paraId="24563961">
      <w:pPr>
        <w:pStyle w:val="4"/>
        <w:rPr>
          <w:rFonts w:hint="default" w:ascii="Times New Roman" w:hAnsi="Times New Roman" w:eastAsia="仿宋_GB2312" w:cs="Times New Roman"/>
          <w:w w:val="100"/>
          <w:sz w:val="32"/>
          <w:szCs w:val="32"/>
          <w:lang w:eastAsia="zh-CN"/>
        </w:rPr>
      </w:pPr>
    </w:p>
    <w:p w14:paraId="51B95A34">
      <w:pPr>
        <w:rPr>
          <w:rFonts w:hint="default" w:ascii="Times New Roman" w:hAnsi="Times New Roman" w:eastAsia="仿宋_GB2312" w:cs="Times New Roman"/>
          <w:w w:val="100"/>
          <w:sz w:val="32"/>
          <w:szCs w:val="32"/>
          <w:lang w:eastAsia="zh-CN"/>
        </w:rPr>
      </w:pPr>
    </w:p>
    <w:p w14:paraId="41D782AE">
      <w:pPr>
        <w:pStyle w:val="4"/>
        <w:rPr>
          <w:rFonts w:hint="default" w:ascii="Times New Roman" w:hAnsi="Times New Roman" w:eastAsia="仿宋_GB2312" w:cs="Times New Roman"/>
          <w:w w:val="100"/>
          <w:sz w:val="32"/>
          <w:szCs w:val="32"/>
          <w:lang w:eastAsia="zh-CN"/>
        </w:rPr>
      </w:pPr>
    </w:p>
    <w:p w14:paraId="48030395">
      <w:pPr>
        <w:rPr>
          <w:rFonts w:hint="default" w:ascii="Times New Roman" w:hAnsi="Times New Roman" w:eastAsia="仿宋_GB2312" w:cs="Times New Roman"/>
          <w:w w:val="100"/>
          <w:sz w:val="32"/>
          <w:szCs w:val="32"/>
          <w:lang w:eastAsia="zh-CN"/>
        </w:rPr>
      </w:pPr>
    </w:p>
    <w:p w14:paraId="0A36DBC2">
      <w:pPr>
        <w:pStyle w:val="4"/>
        <w:rPr>
          <w:rFonts w:hint="default" w:ascii="Times New Roman" w:hAnsi="Times New Roman" w:eastAsia="仿宋_GB2312" w:cs="Times New Roman"/>
          <w:w w:val="100"/>
          <w:sz w:val="32"/>
          <w:szCs w:val="32"/>
          <w:lang w:eastAsia="zh-CN"/>
        </w:rPr>
      </w:pPr>
    </w:p>
    <w:p w14:paraId="7DAD1FAA">
      <w:pPr>
        <w:rPr>
          <w:rFonts w:hint="default" w:ascii="Times New Roman" w:hAnsi="Times New Roman" w:eastAsia="仿宋_GB2312" w:cs="Times New Roman"/>
          <w:w w:val="100"/>
          <w:sz w:val="32"/>
          <w:szCs w:val="32"/>
          <w:lang w:eastAsia="zh-CN"/>
        </w:rPr>
      </w:pPr>
    </w:p>
    <w:p w14:paraId="145D0B19">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w:t>
      </w:r>
    </w:p>
    <w:p w14:paraId="60A45339">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p>
    <w:p w14:paraId="7CEF099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pacing w:val="-11"/>
          <w:sz w:val="44"/>
          <w:szCs w:val="44"/>
          <w:lang w:val="en-US" w:eastAsia="zh-CN"/>
        </w:rPr>
      </w:pPr>
      <w:r>
        <w:rPr>
          <w:rFonts w:hint="default" w:ascii="Times New Roman" w:hAnsi="Times New Roman" w:eastAsia="方正小标宋_GBK" w:cs="Times New Roman"/>
          <w:spacing w:val="-11"/>
          <w:sz w:val="44"/>
          <w:szCs w:val="44"/>
          <w:lang w:val="en-US" w:eastAsia="zh-CN"/>
        </w:rPr>
        <w:t>黄山高新区“科技创新提能级”</w:t>
      </w:r>
      <w:r>
        <w:rPr>
          <w:rFonts w:hint="eastAsia" w:ascii="Times New Roman" w:hAnsi="Times New Roman" w:eastAsia="方正小标宋_GBK" w:cs="Times New Roman"/>
          <w:spacing w:val="-11"/>
          <w:sz w:val="44"/>
          <w:szCs w:val="44"/>
          <w:lang w:val="en-US" w:eastAsia="zh-CN"/>
        </w:rPr>
        <w:t>攻坚工程</w:t>
      </w:r>
      <w:r>
        <w:rPr>
          <w:rFonts w:hint="default" w:ascii="Times New Roman" w:hAnsi="Times New Roman" w:eastAsia="方正小标宋_GBK" w:cs="Times New Roman"/>
          <w:spacing w:val="-11"/>
          <w:sz w:val="44"/>
          <w:szCs w:val="44"/>
          <w:lang w:val="en-US" w:eastAsia="zh-CN"/>
        </w:rPr>
        <w:t>行动方案</w:t>
      </w:r>
    </w:p>
    <w:p w14:paraId="071904D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eastAsiaTheme="majorEastAsia"/>
          <w:sz w:val="32"/>
          <w:szCs w:val="32"/>
          <w:lang w:val="en-US" w:eastAsia="zh-CN"/>
        </w:rPr>
      </w:pPr>
    </w:p>
    <w:p w14:paraId="68D6F74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围绕“创新高地、产业兴城”发展定位，以“比发展、讲奉献、重实干”为主题推进作风建设，开展实施“1227”工程，聚焦“主要经济指标走在全市前列实现新作为、重大项目加快推进取得新突破、产业招商集聚开创新局面”。</w:t>
      </w:r>
    </w:p>
    <w:p w14:paraId="2169458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一、工作目标</w:t>
      </w:r>
    </w:p>
    <w:p w14:paraId="75073E0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1、力争全年规上工业总产值同比增长20%以上；</w:t>
      </w:r>
    </w:p>
    <w:p w14:paraId="008EB26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2、工业投资、技改投资均同比增长20%以上；</w:t>
      </w:r>
    </w:p>
    <w:p w14:paraId="4C0C34B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3、力争新增规模以上工业企业10家，新增高新技术企业8家；</w:t>
      </w:r>
    </w:p>
    <w:p w14:paraId="18B9343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二、重点任务</w:t>
      </w:r>
    </w:p>
    <w:p w14:paraId="076CEBA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（一）聚焦增强创新动能提质量。</w:t>
      </w:r>
    </w:p>
    <w:p w14:paraId="21DAC60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推动“四链”深度融合，鼓励企业加大研发投入，开展关键技术攻关，通过与龙头企业协同创新、与高校产学研合作，打造更多的补短板、填空白、锻长板产品，力争实现规上工业企业研发经费投入增长10%。支持黄山未来科技城争创省级顶尖孵化器，实现“种子”发现、企业育成、平台服务、投资促进、资源融通五大功能全链条服务。引导企业深耕细分领域，切实增强自主创新和核心竞争力，走好“专精特新”发展道路，按照“分类指导、分级培育、重点突破”原则，建立“科技型中小企业-高新技术企业-创新型中小企业-省级专精特新企业”梯度培育体系，实现培育专国家级精特新“小巨人”或省级专精特新企业5家。强化企业高端化、智能化、绿色化引领发展意识，依托园区工业互联网平台和“行业大脑”，促进企业实现工业场景下的相关工业应用，全年力争新增省级智能工厂或数字化车间2家，新增省级或国家级绿色工厂1家。</w:t>
      </w:r>
    </w:p>
    <w:p w14:paraId="0DE9DF9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（二）聚焦提升工业经济增总量。</w:t>
      </w:r>
    </w:p>
    <w:p w14:paraId="5266A1F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围绕“点面结合”、“内外并举”全面提升规上工业经济总体规模。狠抓重大增长点，重点推进光洋、瑞兴、科润、富田、小罐茶、富乐、安康等一批企业通过项目建设、市场开拓、延链补链等方式实现企业产出水平大幅提升。紧抓产业基本面，全力保障汽车零部件、设备制造通过抢抓市场机遇、加大研发投入实现效能提升，为工业经济发展持续输入动能。力争产值亿元以上企业总数达24户以上，规模占比超70%。多措并举助企开拓海外市场，</w:t>
      </w:r>
      <w:r>
        <w:rPr>
          <w:rFonts w:hint="default" w:ascii="Times New Roman" w:hAnsi="Times New Roman" w:eastAsia="仿宋_GB2312" w:cs="Times New Roman"/>
          <w:sz w:val="32"/>
          <w:szCs w:val="32"/>
        </w:rPr>
        <w:t>紧盯日月芯</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徽熿</w:t>
      </w:r>
      <w:r>
        <w:rPr>
          <w:rFonts w:hint="default" w:ascii="Times New Roman" w:hAnsi="Times New Roman" w:eastAsia="仿宋_GB2312" w:cs="Times New Roman"/>
          <w:sz w:val="32"/>
          <w:szCs w:val="32"/>
          <w:lang w:eastAsia="zh-CN"/>
        </w:rPr>
        <w:t>等重点企业</w:t>
      </w:r>
      <w:r>
        <w:rPr>
          <w:rFonts w:hint="default" w:ascii="Times New Roman" w:hAnsi="Times New Roman" w:eastAsia="仿宋_GB2312" w:cs="Times New Roman"/>
          <w:sz w:val="32"/>
          <w:szCs w:val="32"/>
        </w:rPr>
        <w:t>挖掘出口潜力，提升出口</w:t>
      </w:r>
      <w:r>
        <w:rPr>
          <w:rFonts w:hint="default" w:ascii="Times New Roman" w:hAnsi="Times New Roman" w:eastAsia="仿宋_GB2312" w:cs="Times New Roman"/>
          <w:sz w:val="32"/>
          <w:szCs w:val="32"/>
          <w:lang w:eastAsia="zh-CN"/>
        </w:rPr>
        <w:t>增</w:t>
      </w:r>
      <w:r>
        <w:rPr>
          <w:rFonts w:hint="default" w:ascii="Times New Roman" w:hAnsi="Times New Roman" w:eastAsia="仿宋_GB2312" w:cs="Times New Roman"/>
          <w:sz w:val="32"/>
          <w:szCs w:val="32"/>
        </w:rPr>
        <w:t>量。持续动态关注安康、艾科等企业</w:t>
      </w:r>
      <w:r>
        <w:rPr>
          <w:rFonts w:hint="default" w:ascii="Times New Roman" w:hAnsi="Times New Roman" w:eastAsia="仿宋_GB2312" w:cs="Times New Roman"/>
          <w:sz w:val="32"/>
          <w:szCs w:val="32"/>
          <w:lang w:eastAsia="zh-CN"/>
        </w:rPr>
        <w:t>，力争发生出口实绩。力争外贸进出口总额增幅超全市平均增速。</w:t>
      </w:r>
    </w:p>
    <w:p w14:paraId="5369ABF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（三）聚焦技术改造赋能优存量。</w:t>
      </w:r>
    </w:p>
    <w:p w14:paraId="1E10DC3D">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围绕企业提质、产业焕新，引导优势企业技改投入，规上工业“智改数转”。实施重点企业技术改造项目库动态管理，紧盯天目、联强等重点技改项目和屯阀、永新、光锐等重点企业加快实施进展，实现2025年滚动实施工业技改项目50个。强化智改数转，加快企业数字化改造进度，实现规上工业企业数字化改造全覆盖，累计设备接入规模超5500台/套。提升要素保障能力，专班推进，解决土地供应、项目审批、规划建设许可、融资贷款等环节难点、堵点、卡点问题，服务企业加快推进项目实施进度。</w:t>
      </w:r>
    </w:p>
    <w:p w14:paraId="0CAF5C3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（四）聚集盘活低效用地促变量。</w:t>
      </w:r>
    </w:p>
    <w:p w14:paraId="7FA99EBA">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坚持政府引导，“市场化”运作原则，结合“亩均论英雄”评价结果，制定“一企一策”，整合力量，成立专班，集中攻坚，采取优质项目嫁接、国企平台收储、企业技改提升等手段为高质量发展“腾出空间”。重点加快原卓达地块“腾笼换鸟”步伐，全年力争盘活存量工业用地300亩以上，新增工业投资1亿元，工业产值3.5亿元。</w:t>
      </w:r>
    </w:p>
    <w:p w14:paraId="16846B5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（五）聚焦做大规上阵容扩增量。</w:t>
      </w:r>
    </w:p>
    <w:p w14:paraId="0252C68D">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加强入规培育辅导，建立规上企业培育库，紧盯天目药业、荷琇生物、蓝晶游乐、安靠智能4家企业年度入规，力争产值同比增长15%以上。重点培育日月芯、仟众模具、创融官改车、高新建材等企业月度入规，力促月度企业新增产值4亿元以上。紧盯已签约项目落地实施进度，重点关注企业投产时间节点，提前做好博泰车联网、天马线缆等企业月度入规准备工作。力争规上工业企业户数达80户。</w:t>
      </w:r>
    </w:p>
    <w:p w14:paraId="68866BC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三、保障措施</w:t>
      </w:r>
    </w:p>
    <w:p w14:paraId="775C211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坚持“月调度、季小结、半年回头看”，深入基层、靠前指挥，对工作推进过程中发现的问题及时专题协调。各责任部门要切实发挥职能，主动担当作为，动态汇总掌握和分析研判推进情况，及时落实各项工作任务。</w:t>
      </w:r>
    </w:p>
    <w:p w14:paraId="63A1FD3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四、组织领导</w:t>
      </w:r>
    </w:p>
    <w:p w14:paraId="46F06A11">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default" w:ascii="楷体_GB2312" w:hAnsi="楷体_GB2312" w:eastAsia="楷体_GB2312" w:cs="楷体_GB2312"/>
          <w:b/>
          <w:bCs/>
          <w:sz w:val="32"/>
          <w:szCs w:val="32"/>
          <w:lang w:val="en-US" w:eastAsia="zh-CN"/>
        </w:rPr>
      </w:pPr>
      <w:r>
        <w:rPr>
          <w:rFonts w:hint="default" w:ascii="楷体_GB2312" w:hAnsi="楷体_GB2312" w:eastAsia="楷体_GB2312" w:cs="楷体_GB2312"/>
          <w:b/>
          <w:bCs/>
          <w:sz w:val="32"/>
          <w:szCs w:val="32"/>
          <w:lang w:val="en-US" w:eastAsia="zh-CN"/>
        </w:rPr>
        <w:t>牵头领导：黄方略</w:t>
      </w:r>
    </w:p>
    <w:p w14:paraId="76DD490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default" w:ascii="楷体_GB2312" w:hAnsi="楷体_GB2312" w:eastAsia="楷体_GB2312" w:cs="楷体_GB2312"/>
          <w:b/>
          <w:bCs/>
          <w:sz w:val="32"/>
          <w:szCs w:val="32"/>
          <w:lang w:val="en-US" w:eastAsia="zh-CN"/>
        </w:rPr>
      </w:pPr>
      <w:r>
        <w:rPr>
          <w:rFonts w:hint="default" w:ascii="楷体_GB2312" w:hAnsi="楷体_GB2312" w:eastAsia="楷体_GB2312" w:cs="楷体_GB2312"/>
          <w:b/>
          <w:bCs/>
          <w:sz w:val="32"/>
          <w:szCs w:val="32"/>
          <w:lang w:val="en-US" w:eastAsia="zh-CN"/>
        </w:rPr>
        <w:t>责任领导：</w:t>
      </w:r>
      <w:r>
        <w:rPr>
          <w:rFonts w:hint="eastAsia" w:ascii="楷体_GB2312" w:hAnsi="楷体_GB2312" w:eastAsia="楷体_GB2312" w:cs="楷体_GB2312"/>
          <w:b/>
          <w:bCs/>
          <w:sz w:val="32"/>
          <w:szCs w:val="32"/>
          <w:lang w:val="en-US" w:eastAsia="zh-CN"/>
        </w:rPr>
        <w:t>胡广汉、</w:t>
      </w:r>
      <w:r>
        <w:rPr>
          <w:rFonts w:hint="default" w:ascii="楷体_GB2312" w:hAnsi="楷体_GB2312" w:eastAsia="楷体_GB2312" w:cs="楷体_GB2312"/>
          <w:b/>
          <w:bCs/>
          <w:sz w:val="32"/>
          <w:szCs w:val="32"/>
          <w:lang w:val="en-US" w:eastAsia="zh-CN"/>
        </w:rPr>
        <w:t>汪顺泉、江程</w:t>
      </w:r>
    </w:p>
    <w:p w14:paraId="20B5F851">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default" w:ascii="楷体_GB2312" w:hAnsi="楷体_GB2312" w:eastAsia="楷体_GB2312" w:cs="楷体_GB2312"/>
          <w:b/>
          <w:bCs/>
          <w:sz w:val="32"/>
          <w:szCs w:val="32"/>
          <w:lang w:val="en-US" w:eastAsia="zh-CN"/>
        </w:rPr>
      </w:pPr>
      <w:r>
        <w:rPr>
          <w:rFonts w:hint="default" w:ascii="楷体_GB2312" w:hAnsi="楷体_GB2312" w:eastAsia="楷体_GB2312" w:cs="楷体_GB2312"/>
          <w:b/>
          <w:bCs/>
          <w:sz w:val="32"/>
          <w:szCs w:val="32"/>
          <w:lang w:val="en-US" w:eastAsia="zh-CN"/>
        </w:rPr>
        <w:t>牵头部门：经济贸易（科技）局</w:t>
      </w:r>
    </w:p>
    <w:p w14:paraId="25C178E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default" w:ascii="楷体_GB2312" w:hAnsi="楷体_GB2312" w:eastAsia="楷体_GB2312" w:cs="楷体_GB2312"/>
          <w:b/>
          <w:bCs/>
          <w:sz w:val="32"/>
          <w:szCs w:val="32"/>
          <w:lang w:val="en-US" w:eastAsia="zh-CN"/>
        </w:rPr>
      </w:pPr>
      <w:r>
        <w:rPr>
          <w:rFonts w:hint="default" w:ascii="楷体_GB2312" w:hAnsi="楷体_GB2312" w:eastAsia="楷体_GB2312" w:cs="楷体_GB2312"/>
          <w:b/>
          <w:bCs/>
          <w:sz w:val="32"/>
          <w:szCs w:val="32"/>
          <w:lang w:val="en-US" w:eastAsia="zh-CN"/>
        </w:rPr>
        <w:t>责任（协同）部门：</w:t>
      </w:r>
      <w:r>
        <w:rPr>
          <w:rFonts w:hint="eastAsia" w:ascii="楷体_GB2312" w:hAnsi="楷体_GB2312" w:eastAsia="楷体_GB2312" w:cs="楷体_GB2312"/>
          <w:b/>
          <w:bCs/>
          <w:sz w:val="32"/>
          <w:szCs w:val="32"/>
          <w:lang w:val="en-US" w:eastAsia="zh-CN"/>
        </w:rPr>
        <w:t>开投集团、</w:t>
      </w:r>
      <w:r>
        <w:rPr>
          <w:rFonts w:hint="default" w:ascii="楷体_GB2312" w:hAnsi="楷体_GB2312" w:eastAsia="楷体_GB2312" w:cs="楷体_GB2312"/>
          <w:b/>
          <w:bCs/>
          <w:sz w:val="32"/>
          <w:szCs w:val="32"/>
          <w:lang w:val="en-US" w:eastAsia="zh-CN"/>
        </w:rPr>
        <w:t>发改局、投促局、住建局、资规分局、市监分局</w:t>
      </w:r>
    </w:p>
    <w:p w14:paraId="31C52AC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“科技创新提能级”攻坚工程行动领导小组办公室设在经济贸易局（科技局），黄方略同志兼任办公室主任，杨骏同志兼任办公室副主任。</w:t>
      </w:r>
    </w:p>
    <w:p w14:paraId="18CA4F1A">
      <w:pPr>
        <w:pStyle w:val="4"/>
        <w:pageBreakBefore w:val="0"/>
        <w:kinsoku/>
        <w:wordWrap/>
        <w:overflowPunct/>
        <w:topLinePunct w:val="0"/>
        <w:autoSpaceDN/>
        <w:bidi w:val="0"/>
        <w:spacing w:line="560" w:lineRule="exact"/>
        <w:ind w:left="0" w:leftChars="0" w:firstLine="0" w:firstLineChars="0"/>
        <w:textAlignment w:val="auto"/>
        <w:rPr>
          <w:rFonts w:hint="default"/>
        </w:rPr>
      </w:pPr>
    </w:p>
    <w:p w14:paraId="0584840B">
      <w:pPr>
        <w:pageBreakBefore w:val="0"/>
        <w:kinsoku/>
        <w:wordWrap/>
        <w:overflowPunct/>
        <w:topLinePunct w:val="0"/>
        <w:autoSpaceDN/>
        <w:bidi w:val="0"/>
        <w:spacing w:line="560" w:lineRule="exact"/>
        <w:textAlignment w:val="auto"/>
        <w:rPr>
          <w:rFonts w:hint="default"/>
        </w:rPr>
      </w:pPr>
    </w:p>
    <w:p w14:paraId="01F33E1C">
      <w:pPr>
        <w:pageBreakBefore w:val="0"/>
        <w:kinsoku/>
        <w:wordWrap/>
        <w:overflowPunct/>
        <w:topLinePunct w:val="0"/>
        <w:autoSpaceDN/>
        <w:bidi w:val="0"/>
        <w:spacing w:line="560" w:lineRule="exact"/>
        <w:textAlignment w:val="auto"/>
        <w:rPr>
          <w:rFonts w:hint="default"/>
        </w:rPr>
      </w:pPr>
    </w:p>
    <w:p w14:paraId="7588FF8D">
      <w:pPr>
        <w:pageBreakBefore w:val="0"/>
        <w:kinsoku/>
        <w:wordWrap/>
        <w:overflowPunct/>
        <w:topLinePunct w:val="0"/>
        <w:autoSpaceDN/>
        <w:bidi w:val="0"/>
        <w:spacing w:line="560" w:lineRule="exact"/>
        <w:textAlignment w:val="auto"/>
        <w:rPr>
          <w:rFonts w:hint="default"/>
        </w:rPr>
      </w:pPr>
    </w:p>
    <w:p w14:paraId="2D960794">
      <w:pPr>
        <w:pageBreakBefore w:val="0"/>
        <w:kinsoku/>
        <w:wordWrap/>
        <w:overflowPunct/>
        <w:topLinePunct w:val="0"/>
        <w:autoSpaceDN/>
        <w:bidi w:val="0"/>
        <w:spacing w:line="560" w:lineRule="exact"/>
        <w:textAlignment w:val="auto"/>
        <w:rPr>
          <w:rFonts w:hint="default"/>
        </w:rPr>
      </w:pPr>
    </w:p>
    <w:p w14:paraId="378E5172">
      <w:pPr>
        <w:pageBreakBefore w:val="0"/>
        <w:kinsoku/>
        <w:wordWrap/>
        <w:overflowPunct/>
        <w:topLinePunct w:val="0"/>
        <w:autoSpaceDN/>
        <w:bidi w:val="0"/>
        <w:spacing w:line="560" w:lineRule="exact"/>
        <w:textAlignment w:val="auto"/>
        <w:rPr>
          <w:rFonts w:hint="default"/>
        </w:rPr>
      </w:pPr>
    </w:p>
    <w:p w14:paraId="7DCCA88B">
      <w:pPr>
        <w:pageBreakBefore w:val="0"/>
        <w:kinsoku/>
        <w:wordWrap/>
        <w:overflowPunct/>
        <w:topLinePunct w:val="0"/>
        <w:autoSpaceDN/>
        <w:bidi w:val="0"/>
        <w:spacing w:line="560" w:lineRule="exact"/>
        <w:textAlignment w:val="auto"/>
        <w:rPr>
          <w:rFonts w:hint="default"/>
        </w:rPr>
      </w:pPr>
    </w:p>
    <w:p w14:paraId="5CBC277D">
      <w:pPr>
        <w:pageBreakBefore w:val="0"/>
        <w:kinsoku/>
        <w:wordWrap/>
        <w:overflowPunct/>
        <w:topLinePunct w:val="0"/>
        <w:autoSpaceDN/>
        <w:bidi w:val="0"/>
        <w:spacing w:line="560" w:lineRule="exact"/>
        <w:textAlignment w:val="auto"/>
        <w:rPr>
          <w:rFonts w:hint="default"/>
        </w:rPr>
      </w:pPr>
    </w:p>
    <w:p w14:paraId="1051DA61">
      <w:pPr>
        <w:pageBreakBefore w:val="0"/>
        <w:kinsoku/>
        <w:wordWrap/>
        <w:overflowPunct/>
        <w:topLinePunct w:val="0"/>
        <w:autoSpaceDN/>
        <w:bidi w:val="0"/>
        <w:spacing w:line="560" w:lineRule="exact"/>
        <w:textAlignment w:val="auto"/>
        <w:rPr>
          <w:rFonts w:hint="default"/>
        </w:rPr>
      </w:pPr>
    </w:p>
    <w:p w14:paraId="70478E66">
      <w:pPr>
        <w:pageBreakBefore w:val="0"/>
        <w:kinsoku/>
        <w:wordWrap/>
        <w:overflowPunct/>
        <w:topLinePunct w:val="0"/>
        <w:autoSpaceDN/>
        <w:bidi w:val="0"/>
        <w:spacing w:line="560" w:lineRule="exact"/>
        <w:textAlignment w:val="auto"/>
        <w:rPr>
          <w:rFonts w:hint="default"/>
        </w:rPr>
      </w:pPr>
    </w:p>
    <w:p w14:paraId="26B756A9">
      <w:pPr>
        <w:pageBreakBefore w:val="0"/>
        <w:kinsoku/>
        <w:wordWrap/>
        <w:overflowPunct/>
        <w:topLinePunct w:val="0"/>
        <w:autoSpaceDN/>
        <w:bidi w:val="0"/>
        <w:spacing w:line="560" w:lineRule="exact"/>
        <w:textAlignment w:val="auto"/>
        <w:rPr>
          <w:rFonts w:hint="default"/>
        </w:rPr>
      </w:pPr>
    </w:p>
    <w:p w14:paraId="2395D92F">
      <w:pPr>
        <w:pageBreakBefore w:val="0"/>
        <w:kinsoku/>
        <w:wordWrap/>
        <w:overflowPunct/>
        <w:topLinePunct w:val="0"/>
        <w:autoSpaceDN/>
        <w:bidi w:val="0"/>
        <w:spacing w:line="560" w:lineRule="exact"/>
        <w:textAlignment w:val="auto"/>
        <w:rPr>
          <w:rFonts w:hint="default"/>
        </w:rPr>
      </w:pPr>
    </w:p>
    <w:p w14:paraId="68F3EB3F">
      <w:pPr>
        <w:pageBreakBefore w:val="0"/>
        <w:kinsoku/>
        <w:wordWrap/>
        <w:overflowPunct/>
        <w:topLinePunct w:val="0"/>
        <w:autoSpaceDN/>
        <w:bidi w:val="0"/>
        <w:spacing w:line="560" w:lineRule="exact"/>
        <w:textAlignment w:val="auto"/>
        <w:rPr>
          <w:rFonts w:hint="default"/>
        </w:rPr>
      </w:pPr>
    </w:p>
    <w:p w14:paraId="687F37E6">
      <w:pPr>
        <w:pageBreakBefore w:val="0"/>
        <w:kinsoku/>
        <w:wordWrap/>
        <w:overflowPunct/>
        <w:topLinePunct w:val="0"/>
        <w:autoSpaceDN/>
        <w:bidi w:val="0"/>
        <w:spacing w:line="560" w:lineRule="exact"/>
        <w:textAlignment w:val="auto"/>
        <w:rPr>
          <w:rFonts w:hint="default"/>
        </w:rPr>
      </w:pPr>
    </w:p>
    <w:p w14:paraId="0F47CAFA">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附件2</w:t>
      </w:r>
    </w:p>
    <w:p w14:paraId="133B1771">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p>
    <w:p w14:paraId="59F0521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_GBK" w:cs="Times New Roman"/>
          <w:spacing w:val="-17"/>
          <w:sz w:val="44"/>
          <w:szCs w:val="44"/>
          <w:lang w:val="en-US" w:eastAsia="zh-CN"/>
        </w:rPr>
      </w:pPr>
      <w:r>
        <w:rPr>
          <w:rFonts w:hint="eastAsia" w:ascii="Times New Roman" w:hAnsi="Times New Roman" w:eastAsia="方正小标宋_GBK" w:cs="Times New Roman"/>
          <w:spacing w:val="-17"/>
          <w:sz w:val="44"/>
          <w:szCs w:val="44"/>
          <w:lang w:val="en-US" w:eastAsia="zh-CN"/>
        </w:rPr>
        <w:t>黄山高新区“项目推进蓄活力”攻坚工程行动方案</w:t>
      </w:r>
    </w:p>
    <w:p w14:paraId="3944B0D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_GBK" w:cs="方正小标宋_GBK"/>
          <w:sz w:val="18"/>
          <w:szCs w:val="18"/>
          <w:lang w:val="en-US" w:eastAsia="zh-CN"/>
        </w:rPr>
      </w:pPr>
    </w:p>
    <w:p w14:paraId="595CA32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color w:val="auto"/>
          <w:sz w:val="32"/>
          <w:szCs w:val="32"/>
          <w:lang w:val="en-US" w:eastAsia="zh-CN"/>
        </w:rPr>
        <w:t>围绕</w:t>
      </w:r>
      <w:r>
        <w:rPr>
          <w:rFonts w:hint="eastAsia" w:ascii="Times New Roman" w:hAnsi="Times New Roman" w:eastAsia="方正仿宋_GB2312" w:cs="Times New Roman"/>
          <w:color w:val="auto"/>
          <w:sz w:val="32"/>
          <w:szCs w:val="32"/>
          <w:lang w:val="en-US" w:eastAsia="zh-CN"/>
        </w:rPr>
        <w:t>“勇当改革开放排头兵、打造产业新高地、打造招商引资强磁场、搭建服务企业连心桥”发展定位</w:t>
      </w:r>
      <w:r>
        <w:rPr>
          <w:rFonts w:hint="eastAsia" w:ascii="Times New Roman" w:hAnsi="Times New Roman" w:eastAsia="仿宋_GB2312" w:cs="仿宋_GB2312"/>
          <w:color w:val="auto"/>
          <w:sz w:val="32"/>
          <w:szCs w:val="32"/>
          <w:lang w:val="en-US" w:eastAsia="zh-CN"/>
        </w:rPr>
        <w:t>，以“比发展、讲奉献、重实干”为主题推进作风建设，聚焦“重大项目加快推进取得新突破”，牢固树立“项目为王”理</w:t>
      </w:r>
      <w:r>
        <w:rPr>
          <w:rFonts w:hint="eastAsia" w:ascii="Times New Roman" w:hAnsi="Times New Roman" w:eastAsia="仿宋_GB2312" w:cs="仿宋_GB2312"/>
          <w:sz w:val="32"/>
          <w:szCs w:val="32"/>
          <w:lang w:val="en-US" w:eastAsia="zh-CN"/>
        </w:rPr>
        <w:t>念，以项目建设见效撬动</w:t>
      </w:r>
      <w:r>
        <w:rPr>
          <w:rFonts w:hint="eastAsia" w:ascii="Times New Roman" w:hAnsi="Times New Roman" w:eastAsia="方正仿宋_GB2312" w:cs="Times New Roman"/>
          <w:sz w:val="32"/>
          <w:szCs w:val="32"/>
          <w:lang w:val="en-US" w:eastAsia="zh-CN"/>
        </w:rPr>
        <w:t>园区高质量发展新格局，加快园区基础设施补短板、产业项目聚合力，为全市经济建设增添后劲</w:t>
      </w:r>
      <w:r>
        <w:rPr>
          <w:rFonts w:hint="eastAsia" w:ascii="Times New Roman" w:hAnsi="Times New Roman" w:eastAsia="仿宋_GB2312" w:cs="仿宋_GB2312"/>
          <w:sz w:val="32"/>
          <w:szCs w:val="32"/>
          <w:lang w:val="en-US" w:eastAsia="zh-CN"/>
        </w:rPr>
        <w:t>。</w:t>
      </w:r>
    </w:p>
    <w:p w14:paraId="1E60930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黑体" w:cs="黑体"/>
          <w:sz w:val="32"/>
          <w:szCs w:val="32"/>
          <w:lang w:val="en-US" w:eastAsia="zh-CN"/>
        </w:rPr>
      </w:pPr>
      <w:r>
        <w:rPr>
          <w:rFonts w:hint="eastAsia" w:ascii="Times New Roman" w:hAnsi="Times New Roman" w:eastAsia="黑体" w:cs="黑体"/>
          <w:sz w:val="32"/>
          <w:szCs w:val="32"/>
          <w:lang w:val="en-US" w:eastAsia="zh-CN"/>
        </w:rPr>
        <w:t>一、建设目标</w:t>
      </w:r>
    </w:p>
    <w:p w14:paraId="273A4952">
      <w:pPr>
        <w:keepNext w:val="0"/>
        <w:keepLines w:val="0"/>
        <w:pageBreakBefore w:val="0"/>
        <w:widowControl w:val="0"/>
        <w:suppressLineNumbers w:val="0"/>
        <w:kinsoku/>
        <w:wordWrap/>
        <w:overflowPunct/>
        <w:topLinePunct w:val="0"/>
        <w:autoSpaceDE w:val="0"/>
        <w:autoSpaceDN/>
        <w:bidi w:val="0"/>
        <w:adjustRightInd/>
        <w:snapToGrid/>
        <w:spacing w:beforeAutospacing="0" w:afterAutospacing="0" w:line="560" w:lineRule="exact"/>
        <w:ind w:left="0" w:right="0" w:firstLine="640" w:firstLineChars="200"/>
        <w:jc w:val="left"/>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kern w:val="2"/>
          <w:sz w:val="32"/>
          <w:szCs w:val="32"/>
          <w:lang w:val="en-US" w:eastAsia="zh-CN" w:bidi="ar"/>
        </w:rPr>
        <w:t>力争全年新开工市重点项目</w:t>
      </w:r>
      <w:r>
        <w:rPr>
          <w:rFonts w:hint="eastAsia" w:ascii="Times New Roman" w:hAnsi="Times New Roman" w:eastAsia="仿宋_GB2312" w:cs="Times New Roman"/>
          <w:kern w:val="2"/>
          <w:sz w:val="32"/>
          <w:szCs w:val="32"/>
          <w:lang w:val="en-US" w:eastAsia="zh-CN" w:bidi="ar"/>
        </w:rPr>
        <w:t>25</w:t>
      </w:r>
      <w:r>
        <w:rPr>
          <w:rFonts w:hint="eastAsia" w:ascii="Times New Roman" w:hAnsi="Times New Roman" w:eastAsia="仿宋_GB2312" w:cs="仿宋_GB2312"/>
          <w:kern w:val="2"/>
          <w:sz w:val="32"/>
          <w:szCs w:val="32"/>
          <w:lang w:val="en-US" w:eastAsia="zh-CN" w:bidi="ar"/>
        </w:rPr>
        <w:t>个、新竣工市重点项目</w:t>
      </w:r>
      <w:r>
        <w:rPr>
          <w:rFonts w:hint="eastAsia" w:ascii="Times New Roman" w:hAnsi="Times New Roman" w:eastAsia="仿宋_GB2312" w:cs="Times New Roman"/>
          <w:kern w:val="2"/>
          <w:sz w:val="32"/>
          <w:szCs w:val="32"/>
          <w:lang w:val="en-US" w:eastAsia="zh-CN" w:bidi="ar"/>
        </w:rPr>
        <w:t>15</w:t>
      </w:r>
      <w:r>
        <w:rPr>
          <w:rFonts w:hint="eastAsia" w:ascii="Times New Roman" w:hAnsi="Times New Roman" w:eastAsia="仿宋_GB2312" w:cs="仿宋_GB2312"/>
          <w:kern w:val="2"/>
          <w:sz w:val="32"/>
          <w:szCs w:val="32"/>
          <w:lang w:val="en-US" w:eastAsia="zh-CN" w:bidi="ar"/>
        </w:rPr>
        <w:t>个，力争全年完成固定资产投资同比增长20</w:t>
      </w:r>
      <w:r>
        <w:rPr>
          <w:rFonts w:hint="default" w:ascii="Times New Roman" w:hAnsi="Times New Roman" w:eastAsia="仿宋_GB2312" w:cs="Times New Roman"/>
          <w:kern w:val="2"/>
          <w:sz w:val="32"/>
          <w:szCs w:val="32"/>
          <w:lang w:val="en-US" w:eastAsia="zh-CN" w:bidi="ar"/>
        </w:rPr>
        <w:t>%</w:t>
      </w:r>
      <w:r>
        <w:rPr>
          <w:rFonts w:hint="eastAsia" w:ascii="Times New Roman" w:hAnsi="Times New Roman" w:eastAsia="仿宋_GB2312" w:cs="仿宋_GB2312"/>
          <w:kern w:val="2"/>
          <w:sz w:val="32"/>
          <w:szCs w:val="32"/>
          <w:lang w:val="en-US" w:eastAsia="zh-CN" w:bidi="ar"/>
        </w:rPr>
        <w:t>。</w:t>
      </w:r>
    </w:p>
    <w:p w14:paraId="2DDE4FD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黑体" w:cs="黑体"/>
          <w:sz w:val="32"/>
          <w:szCs w:val="32"/>
          <w:lang w:val="en-US" w:eastAsia="zh-CN"/>
        </w:rPr>
      </w:pPr>
      <w:r>
        <w:rPr>
          <w:rFonts w:hint="eastAsia" w:ascii="Times New Roman" w:hAnsi="Times New Roman" w:eastAsia="黑体" w:cs="黑体"/>
          <w:sz w:val="32"/>
          <w:szCs w:val="32"/>
          <w:lang w:val="en-US" w:eastAsia="zh-CN"/>
        </w:rPr>
        <w:t>二、重点任务</w:t>
      </w:r>
    </w:p>
    <w:p w14:paraId="30E7FAE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楷体_GB2312" w:cs="楷体_GB2312"/>
          <w:b/>
          <w:bCs/>
          <w:sz w:val="32"/>
          <w:szCs w:val="32"/>
          <w:lang w:val="en-US" w:eastAsia="zh-CN"/>
        </w:rPr>
        <w:t>（一）抓好争资项目谋划储备。</w:t>
      </w:r>
      <w:r>
        <w:rPr>
          <w:rFonts w:hint="eastAsia" w:ascii="Times New Roman" w:hAnsi="Times New Roman" w:eastAsia="仿宋_GB2312" w:cs="仿宋_GB2312"/>
          <w:sz w:val="32"/>
          <w:szCs w:val="32"/>
          <w:lang w:val="en-US" w:eastAsia="zh-CN"/>
        </w:rPr>
        <w:t>紧盯国债、中央预算内和国家一揽子政策，结合园区实际，及早谋划一批“十五五”重大项目和</w:t>
      </w:r>
      <w:r>
        <w:rPr>
          <w:rFonts w:hint="eastAsia" w:ascii="Times New Roman" w:hAnsi="Times New Roman" w:eastAsia="仿宋_GB2312" w:cs="仿宋_GB2312"/>
          <w:kern w:val="2"/>
          <w:sz w:val="32"/>
          <w:szCs w:val="32"/>
          <w:lang w:val="en-US" w:eastAsia="zh-CN" w:bidi="ar"/>
        </w:rPr>
        <w:t>符合国家鼓励、扶持的关键领域项目</w:t>
      </w:r>
      <w:r>
        <w:rPr>
          <w:rFonts w:hint="eastAsia" w:ascii="Times New Roman" w:hAnsi="Times New Roman" w:eastAsia="仿宋_GB2312" w:cs="仿宋_GB2312"/>
          <w:sz w:val="32"/>
          <w:szCs w:val="32"/>
          <w:lang w:val="en-US" w:eastAsia="zh-CN"/>
        </w:rPr>
        <w:t>，加快推进项目可行性研究和前期工作，</w:t>
      </w:r>
      <w:r>
        <w:rPr>
          <w:rFonts w:hint="eastAsia" w:ascii="Times New Roman" w:hAnsi="Times New Roman" w:eastAsia="仿宋_GB2312" w:cs="仿宋_GB2312"/>
          <w:kern w:val="2"/>
          <w:sz w:val="32"/>
          <w:szCs w:val="32"/>
          <w:lang w:val="en-US" w:eastAsia="zh-CN" w:bidi="ar"/>
        </w:rPr>
        <w:t>争取更多项目进入国家和省政策资金“盘子”。重点项目包括：高新区源头排水、长源提升改造、汽配产业园、重点工业企业设备更新等。</w:t>
      </w:r>
    </w:p>
    <w:p w14:paraId="77F6ED8B">
      <w:pPr>
        <w:keepNext w:val="0"/>
        <w:keepLines w:val="0"/>
        <w:pageBreakBefore w:val="0"/>
        <w:widowControl w:val="0"/>
        <w:suppressLineNumbers w:val="0"/>
        <w:kinsoku/>
        <w:wordWrap/>
        <w:overflowPunct/>
        <w:topLinePunct w:val="0"/>
        <w:autoSpaceDE w:val="0"/>
        <w:autoSpaceDN/>
        <w:bidi w:val="0"/>
        <w:adjustRightInd/>
        <w:snapToGrid/>
        <w:spacing w:beforeAutospacing="0" w:afterAutospacing="0" w:line="560" w:lineRule="exact"/>
        <w:ind w:left="0" w:right="0" w:firstLine="643" w:firstLineChars="200"/>
        <w:jc w:val="left"/>
        <w:textAlignment w:val="auto"/>
        <w:rPr>
          <w:rFonts w:hint="default" w:ascii="Times New Roman" w:hAnsi="Times New Roman" w:eastAsia="仿宋_GB2312" w:cs="仿宋_GB2312"/>
          <w:kern w:val="2"/>
          <w:sz w:val="32"/>
          <w:szCs w:val="32"/>
          <w:lang w:val="en-US" w:eastAsia="zh-CN" w:bidi="ar"/>
        </w:rPr>
      </w:pPr>
      <w:r>
        <w:rPr>
          <w:rFonts w:hint="eastAsia" w:ascii="Times New Roman" w:hAnsi="Times New Roman" w:eastAsia="楷体_GB2312" w:cs="楷体_GB2312"/>
          <w:b/>
          <w:bCs/>
          <w:sz w:val="32"/>
          <w:szCs w:val="32"/>
          <w:lang w:val="en-US" w:eastAsia="zh-CN"/>
        </w:rPr>
        <w:t>（二）抓好在谈项目签约落地。</w:t>
      </w:r>
      <w:r>
        <w:rPr>
          <w:rFonts w:hint="eastAsia" w:ascii="Times New Roman" w:hAnsi="Times New Roman" w:eastAsia="仿宋_GB2312" w:cs="仿宋_GB2312"/>
          <w:kern w:val="2"/>
          <w:sz w:val="32"/>
          <w:szCs w:val="32"/>
          <w:lang w:val="en-US" w:eastAsia="zh-CN" w:bidi="ar"/>
        </w:rPr>
        <w:t>聚力“以链引商”、创新“要素招商”、做好“服务亲商”，围绕园区主导产业，积极解决在谈项目土地、厂房、资金等问题，不折不扣抓好项目签约落地，推动更强更优项目落地建设，更快更好发挥效益。重点项目包括：瑞兴汽车二期、皖掌柜供应链、艾科二期、科润二期、中广核储能电站、德恒汽车装备、辅易航、陶瓷基板、卫生护理用品产业园等。</w:t>
      </w:r>
    </w:p>
    <w:p w14:paraId="0BE01CF8">
      <w:pPr>
        <w:keepNext w:val="0"/>
        <w:keepLines w:val="0"/>
        <w:pageBreakBefore w:val="0"/>
        <w:widowControl w:val="0"/>
        <w:suppressLineNumbers w:val="0"/>
        <w:kinsoku/>
        <w:wordWrap/>
        <w:overflowPunct/>
        <w:topLinePunct w:val="0"/>
        <w:autoSpaceDE w:val="0"/>
        <w:autoSpaceDN/>
        <w:bidi w:val="0"/>
        <w:adjustRightInd/>
        <w:snapToGrid/>
        <w:spacing w:beforeAutospacing="0" w:afterAutospacing="0" w:line="560" w:lineRule="exact"/>
        <w:ind w:left="0" w:right="0" w:firstLine="643" w:firstLineChars="200"/>
        <w:jc w:val="left"/>
        <w:textAlignment w:val="auto"/>
        <w:rPr>
          <w:rFonts w:hint="default" w:ascii="Times New Roman" w:hAnsi="Times New Roman" w:eastAsia="仿宋_GB2312" w:cs="Times New Roman"/>
          <w:kern w:val="2"/>
          <w:sz w:val="32"/>
          <w:szCs w:val="32"/>
          <w:lang w:val="en-US"/>
        </w:rPr>
      </w:pPr>
      <w:r>
        <w:rPr>
          <w:rFonts w:hint="eastAsia" w:ascii="Times New Roman" w:hAnsi="Times New Roman" w:eastAsia="楷体_GB2312" w:cs="楷体_GB2312"/>
          <w:b/>
          <w:bCs/>
          <w:sz w:val="32"/>
          <w:szCs w:val="32"/>
          <w:lang w:val="en-US" w:eastAsia="zh-CN"/>
        </w:rPr>
        <w:t>（三）抓好落地项目开工建设。</w:t>
      </w:r>
      <w:r>
        <w:rPr>
          <w:rFonts w:hint="eastAsia" w:ascii="Times New Roman" w:hAnsi="Times New Roman" w:eastAsia="仿宋_GB2312" w:cs="仿宋_GB2312"/>
          <w:kern w:val="2"/>
          <w:sz w:val="32"/>
          <w:szCs w:val="32"/>
          <w:lang w:val="en-US" w:eastAsia="zh-CN" w:bidi="ar"/>
        </w:rPr>
        <w:t>对照</w:t>
      </w:r>
      <w:r>
        <w:rPr>
          <w:rFonts w:hint="eastAsia" w:ascii="Times New Roman" w:hAnsi="Times New Roman" w:eastAsia="仿宋_GB2312" w:cs="仿宋_GB2312"/>
          <w:sz w:val="32"/>
          <w:szCs w:val="32"/>
          <w:lang w:val="en-US" w:eastAsia="zh-CN"/>
        </w:rPr>
        <w:t>项目清单</w:t>
      </w:r>
      <w:r>
        <w:rPr>
          <w:rFonts w:hint="eastAsia" w:ascii="Times New Roman" w:hAnsi="Times New Roman" w:eastAsia="仿宋_GB2312" w:cs="仿宋_GB2312"/>
          <w:kern w:val="2"/>
          <w:sz w:val="32"/>
          <w:szCs w:val="32"/>
          <w:lang w:val="en-US" w:eastAsia="zh-CN" w:bidi="ar"/>
        </w:rPr>
        <w:t>，围绕项目规划用地、环评水保、施工许可等流程节点，制定甘特图，加强部门联动，压茬推进前期工作，争取项目快落地、快建设，</w:t>
      </w:r>
      <w:r>
        <w:rPr>
          <w:rFonts w:hint="eastAsia" w:ascii="Times New Roman" w:hAnsi="Times New Roman" w:eastAsia="仿宋_GB2312" w:cs="仿宋_GB2312"/>
          <w:color w:val="000000"/>
          <w:kern w:val="2"/>
          <w:sz w:val="32"/>
          <w:szCs w:val="32"/>
          <w:lang w:val="en-US" w:eastAsia="zh-CN" w:bidi="ar"/>
        </w:rPr>
        <w:t>尽可能完成更多实物工作量</w:t>
      </w:r>
      <w:r>
        <w:rPr>
          <w:rFonts w:hint="eastAsia" w:ascii="Times New Roman" w:hAnsi="Times New Roman" w:eastAsia="仿宋_GB2312" w:cs="仿宋_GB2312"/>
          <w:kern w:val="2"/>
          <w:sz w:val="32"/>
          <w:szCs w:val="32"/>
          <w:lang w:val="en-US" w:eastAsia="zh-CN" w:bidi="ar"/>
        </w:rPr>
        <w:t>，及时体现有效投资。重点项目包括：新潭农村污水、高铁制梁场、万邦垃圾回收项目、天目产能提升、光洋汽配、创融汽车、综合管廊、二污厂设备更新等。</w:t>
      </w:r>
    </w:p>
    <w:p w14:paraId="1362E44A">
      <w:pPr>
        <w:keepNext w:val="0"/>
        <w:keepLines w:val="0"/>
        <w:pageBreakBefore w:val="0"/>
        <w:widowControl w:val="0"/>
        <w:suppressLineNumbers w:val="0"/>
        <w:kinsoku/>
        <w:wordWrap/>
        <w:overflowPunct/>
        <w:topLinePunct w:val="0"/>
        <w:autoSpaceDE w:val="0"/>
        <w:autoSpaceDN/>
        <w:bidi w:val="0"/>
        <w:adjustRightInd/>
        <w:snapToGrid/>
        <w:spacing w:beforeAutospacing="0" w:afterAutospacing="0" w:line="560" w:lineRule="exact"/>
        <w:ind w:left="0" w:right="0" w:firstLine="643" w:firstLineChars="200"/>
        <w:jc w:val="left"/>
        <w:textAlignment w:val="auto"/>
        <w:rPr>
          <w:rFonts w:hint="default" w:ascii="Times New Roman" w:hAnsi="Times New Roman" w:eastAsia="仿宋_GB2312" w:cs="仿宋_GB2312"/>
          <w:kern w:val="2"/>
          <w:sz w:val="32"/>
          <w:szCs w:val="32"/>
          <w:lang w:val="en-US" w:eastAsia="zh-CN" w:bidi="ar"/>
        </w:rPr>
      </w:pPr>
      <w:r>
        <w:rPr>
          <w:rFonts w:hint="eastAsia" w:ascii="Times New Roman" w:hAnsi="Times New Roman" w:eastAsia="楷体_GB2312" w:cs="楷体_GB2312"/>
          <w:b/>
          <w:bCs/>
          <w:sz w:val="32"/>
          <w:szCs w:val="32"/>
          <w:lang w:val="en-US" w:eastAsia="zh-CN"/>
        </w:rPr>
        <w:t>（四）抓好在建项目竣工投产。</w:t>
      </w:r>
      <w:r>
        <w:rPr>
          <w:rFonts w:hint="eastAsia" w:ascii="Times New Roman" w:hAnsi="Times New Roman" w:eastAsia="仿宋_GB2312" w:cs="仿宋_GB2312"/>
          <w:kern w:val="2"/>
          <w:sz w:val="32"/>
          <w:szCs w:val="32"/>
          <w:lang w:val="en-US" w:eastAsia="zh-CN" w:bidi="ar"/>
        </w:rPr>
        <w:t>要以攻坚方案为抓手，紧盯全年计划竣工投产项目，做到精细化跟踪进度，随时掌握项目建设周期中的难点、痛点，及时协调解决</w:t>
      </w:r>
      <w:r>
        <w:rPr>
          <w:rFonts w:hint="eastAsia" w:ascii="Times New Roman" w:hAnsi="Times New Roman" w:eastAsia="仿宋_GB2312" w:cs="仿宋_GB2312"/>
          <w:color w:val="000000"/>
          <w:kern w:val="2"/>
          <w:sz w:val="32"/>
          <w:szCs w:val="32"/>
          <w:lang w:val="en-US" w:eastAsia="zh-CN" w:bidi="ar"/>
        </w:rPr>
        <w:t>，</w:t>
      </w:r>
      <w:r>
        <w:rPr>
          <w:rFonts w:hint="eastAsia" w:ascii="Times New Roman" w:hAnsi="Times New Roman" w:eastAsia="仿宋_GB2312" w:cs="仿宋_GB2312"/>
          <w:kern w:val="2"/>
          <w:sz w:val="32"/>
          <w:szCs w:val="32"/>
          <w:lang w:val="en-US" w:eastAsia="zh-CN" w:bidi="ar"/>
        </w:rPr>
        <w:t>确保项目早投产早见效、入规纳统、有数有税。重点项目有：日月芯芯片、怡咖智能装备、新潭排水工程、炎培学校、公共实训基地、银联输电线路、建成区排水工程等。</w:t>
      </w:r>
    </w:p>
    <w:p w14:paraId="7E6C291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黑体" w:cs="黑体"/>
          <w:sz w:val="32"/>
          <w:szCs w:val="32"/>
          <w:lang w:val="en-US" w:eastAsia="zh-CN"/>
        </w:rPr>
      </w:pPr>
      <w:r>
        <w:rPr>
          <w:rFonts w:hint="eastAsia" w:ascii="Times New Roman" w:hAnsi="Times New Roman" w:eastAsia="黑体" w:cs="黑体"/>
          <w:sz w:val="32"/>
          <w:szCs w:val="32"/>
          <w:lang w:val="en-US" w:eastAsia="zh-CN"/>
        </w:rPr>
        <w:t>三、保障措施</w:t>
      </w:r>
    </w:p>
    <w:p w14:paraId="0E6BFEF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坚持“月调度、季小结、半年回头看”，深入基层、靠前指挥，对工作推进过程中发现的问题及时专题协调。各责任部门要切实发挥职能，主动担当作为，动态汇总掌握和分析研判推进情况，及时落实各项工作任务。</w:t>
      </w:r>
    </w:p>
    <w:p w14:paraId="063353D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黑体" w:cs="黑体"/>
          <w:sz w:val="32"/>
          <w:szCs w:val="32"/>
          <w:lang w:val="en-US" w:eastAsia="zh-CN"/>
        </w:rPr>
      </w:pPr>
      <w:r>
        <w:rPr>
          <w:rFonts w:hint="eastAsia" w:ascii="Times New Roman" w:hAnsi="Times New Roman" w:eastAsia="黑体" w:cs="黑体"/>
          <w:sz w:val="32"/>
          <w:szCs w:val="32"/>
          <w:lang w:val="en-US" w:eastAsia="zh-CN"/>
        </w:rPr>
        <w:t>四、组织领导</w:t>
      </w:r>
    </w:p>
    <w:p w14:paraId="7596C90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牵头领导：江程</w:t>
      </w:r>
    </w:p>
    <w:p w14:paraId="2032E0F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责任领导：胡广汉、汪顺泉、程涛、黄方略</w:t>
      </w:r>
    </w:p>
    <w:p w14:paraId="649C0D7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牵头部门：发改局</w:t>
      </w:r>
    </w:p>
    <w:p w14:paraId="1774035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责任（协同）部门：开投集团、新潭镇、经贸局、投促局、住建局、安监环保局、资规分局</w:t>
      </w:r>
    </w:p>
    <w:p w14:paraId="7DC89AE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“项目推进蓄活力”攻坚工程行动领导小组办公室设在发展改革局，江程同志兼任办公室主任，朱伊芸同志兼任办公室副主任。</w:t>
      </w:r>
    </w:p>
    <w:p w14:paraId="4648E1B2">
      <w:pPr>
        <w:pageBreakBefore w:val="0"/>
        <w:kinsoku/>
        <w:wordWrap/>
        <w:overflowPunct/>
        <w:topLinePunct w:val="0"/>
        <w:autoSpaceDN/>
        <w:bidi w:val="0"/>
        <w:spacing w:line="560" w:lineRule="exact"/>
        <w:textAlignment w:val="auto"/>
        <w:rPr>
          <w:rFonts w:hint="default"/>
        </w:rPr>
      </w:pPr>
    </w:p>
    <w:p w14:paraId="44B78BC6">
      <w:pPr>
        <w:pageBreakBefore w:val="0"/>
        <w:kinsoku/>
        <w:wordWrap/>
        <w:overflowPunct/>
        <w:topLinePunct w:val="0"/>
        <w:autoSpaceDN/>
        <w:bidi w:val="0"/>
        <w:spacing w:line="560" w:lineRule="exact"/>
        <w:textAlignment w:val="auto"/>
        <w:rPr>
          <w:rFonts w:hint="default"/>
        </w:rPr>
      </w:pPr>
    </w:p>
    <w:p w14:paraId="17AD3D90">
      <w:pPr>
        <w:pageBreakBefore w:val="0"/>
        <w:kinsoku/>
        <w:wordWrap/>
        <w:overflowPunct/>
        <w:topLinePunct w:val="0"/>
        <w:autoSpaceDN/>
        <w:bidi w:val="0"/>
        <w:spacing w:line="560" w:lineRule="exact"/>
        <w:textAlignment w:val="auto"/>
        <w:rPr>
          <w:rFonts w:hint="default"/>
        </w:rPr>
      </w:pPr>
    </w:p>
    <w:p w14:paraId="7E5C7EFF">
      <w:pPr>
        <w:pageBreakBefore w:val="0"/>
        <w:kinsoku/>
        <w:wordWrap/>
        <w:overflowPunct/>
        <w:topLinePunct w:val="0"/>
        <w:autoSpaceDN/>
        <w:bidi w:val="0"/>
        <w:spacing w:line="560" w:lineRule="exact"/>
        <w:textAlignment w:val="auto"/>
        <w:rPr>
          <w:rFonts w:hint="default"/>
        </w:rPr>
      </w:pPr>
    </w:p>
    <w:p w14:paraId="2FAC89EA">
      <w:pPr>
        <w:pageBreakBefore w:val="0"/>
        <w:kinsoku/>
        <w:wordWrap/>
        <w:overflowPunct/>
        <w:topLinePunct w:val="0"/>
        <w:autoSpaceDN/>
        <w:bidi w:val="0"/>
        <w:spacing w:line="560" w:lineRule="exact"/>
        <w:textAlignment w:val="auto"/>
        <w:rPr>
          <w:rFonts w:hint="default"/>
        </w:rPr>
      </w:pPr>
    </w:p>
    <w:p w14:paraId="27264729">
      <w:pPr>
        <w:pageBreakBefore w:val="0"/>
        <w:kinsoku/>
        <w:wordWrap/>
        <w:overflowPunct/>
        <w:topLinePunct w:val="0"/>
        <w:autoSpaceDN/>
        <w:bidi w:val="0"/>
        <w:spacing w:line="560" w:lineRule="exact"/>
        <w:textAlignment w:val="auto"/>
        <w:rPr>
          <w:rFonts w:hint="default"/>
        </w:rPr>
      </w:pPr>
    </w:p>
    <w:p w14:paraId="443CB1E5">
      <w:pPr>
        <w:pageBreakBefore w:val="0"/>
        <w:kinsoku/>
        <w:wordWrap/>
        <w:overflowPunct/>
        <w:topLinePunct w:val="0"/>
        <w:autoSpaceDN/>
        <w:bidi w:val="0"/>
        <w:spacing w:line="560" w:lineRule="exact"/>
        <w:textAlignment w:val="auto"/>
        <w:rPr>
          <w:rFonts w:hint="default"/>
        </w:rPr>
      </w:pPr>
    </w:p>
    <w:p w14:paraId="4E3320A2">
      <w:pPr>
        <w:pageBreakBefore w:val="0"/>
        <w:kinsoku/>
        <w:wordWrap/>
        <w:overflowPunct/>
        <w:topLinePunct w:val="0"/>
        <w:autoSpaceDN/>
        <w:bidi w:val="0"/>
        <w:spacing w:line="560" w:lineRule="exact"/>
        <w:textAlignment w:val="auto"/>
        <w:rPr>
          <w:rFonts w:hint="default"/>
        </w:rPr>
      </w:pPr>
    </w:p>
    <w:p w14:paraId="7C37240D">
      <w:pPr>
        <w:pageBreakBefore w:val="0"/>
        <w:kinsoku/>
        <w:wordWrap/>
        <w:overflowPunct/>
        <w:topLinePunct w:val="0"/>
        <w:autoSpaceDN/>
        <w:bidi w:val="0"/>
        <w:spacing w:line="560" w:lineRule="exact"/>
        <w:textAlignment w:val="auto"/>
        <w:rPr>
          <w:rFonts w:hint="default"/>
        </w:rPr>
      </w:pPr>
    </w:p>
    <w:p w14:paraId="354C5DF1">
      <w:pPr>
        <w:pageBreakBefore w:val="0"/>
        <w:kinsoku/>
        <w:wordWrap/>
        <w:overflowPunct/>
        <w:topLinePunct w:val="0"/>
        <w:autoSpaceDN/>
        <w:bidi w:val="0"/>
        <w:spacing w:line="560" w:lineRule="exact"/>
        <w:textAlignment w:val="auto"/>
        <w:rPr>
          <w:rFonts w:hint="default"/>
        </w:rPr>
      </w:pPr>
    </w:p>
    <w:p w14:paraId="332C137E">
      <w:pPr>
        <w:pageBreakBefore w:val="0"/>
        <w:kinsoku/>
        <w:wordWrap/>
        <w:overflowPunct/>
        <w:topLinePunct w:val="0"/>
        <w:autoSpaceDN/>
        <w:bidi w:val="0"/>
        <w:spacing w:line="560" w:lineRule="exact"/>
        <w:textAlignment w:val="auto"/>
        <w:rPr>
          <w:rFonts w:hint="default"/>
        </w:rPr>
      </w:pPr>
    </w:p>
    <w:p w14:paraId="35F03DFE">
      <w:pPr>
        <w:pageBreakBefore w:val="0"/>
        <w:kinsoku/>
        <w:wordWrap/>
        <w:overflowPunct/>
        <w:topLinePunct w:val="0"/>
        <w:autoSpaceDN/>
        <w:bidi w:val="0"/>
        <w:spacing w:line="560" w:lineRule="exact"/>
        <w:textAlignment w:val="auto"/>
        <w:rPr>
          <w:rFonts w:hint="default"/>
        </w:rPr>
      </w:pPr>
    </w:p>
    <w:p w14:paraId="79BE3775">
      <w:pPr>
        <w:pageBreakBefore w:val="0"/>
        <w:kinsoku/>
        <w:wordWrap/>
        <w:overflowPunct/>
        <w:topLinePunct w:val="0"/>
        <w:autoSpaceDN/>
        <w:bidi w:val="0"/>
        <w:spacing w:line="560" w:lineRule="exact"/>
        <w:textAlignment w:val="auto"/>
        <w:rPr>
          <w:rFonts w:hint="default"/>
        </w:rPr>
      </w:pPr>
    </w:p>
    <w:p w14:paraId="6B68C559">
      <w:pPr>
        <w:pageBreakBefore w:val="0"/>
        <w:kinsoku/>
        <w:wordWrap/>
        <w:overflowPunct/>
        <w:topLinePunct w:val="0"/>
        <w:autoSpaceDN/>
        <w:bidi w:val="0"/>
        <w:spacing w:line="560" w:lineRule="exact"/>
        <w:textAlignment w:val="auto"/>
        <w:rPr>
          <w:rFonts w:hint="default"/>
        </w:rPr>
      </w:pPr>
    </w:p>
    <w:p w14:paraId="58F011E5">
      <w:pPr>
        <w:pageBreakBefore w:val="0"/>
        <w:kinsoku/>
        <w:wordWrap/>
        <w:overflowPunct/>
        <w:topLinePunct w:val="0"/>
        <w:autoSpaceDN/>
        <w:bidi w:val="0"/>
        <w:spacing w:line="560" w:lineRule="exact"/>
        <w:textAlignment w:val="auto"/>
        <w:rPr>
          <w:rFonts w:hint="default"/>
        </w:rPr>
      </w:pPr>
    </w:p>
    <w:p w14:paraId="2C532FC8">
      <w:pPr>
        <w:pageBreakBefore w:val="0"/>
        <w:kinsoku/>
        <w:wordWrap/>
        <w:overflowPunct/>
        <w:topLinePunct w:val="0"/>
        <w:autoSpaceDN/>
        <w:bidi w:val="0"/>
        <w:spacing w:line="560" w:lineRule="exact"/>
        <w:textAlignment w:val="auto"/>
        <w:rPr>
          <w:rFonts w:hint="default"/>
        </w:rPr>
      </w:pPr>
    </w:p>
    <w:p w14:paraId="09816D41">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pacing w:val="-11"/>
          <w:sz w:val="32"/>
          <w:szCs w:val="32"/>
          <w:lang w:val="en-US" w:eastAsia="zh-CN"/>
        </w:rPr>
      </w:pPr>
      <w:r>
        <w:rPr>
          <w:rFonts w:hint="eastAsia" w:ascii="仿宋_GB2312" w:hAnsi="仿宋_GB2312" w:eastAsia="仿宋_GB2312" w:cs="仿宋_GB2312"/>
          <w:spacing w:val="-11"/>
          <w:sz w:val="32"/>
          <w:szCs w:val="32"/>
          <w:lang w:val="en-US" w:eastAsia="zh-CN"/>
        </w:rPr>
        <w:t>附件3</w:t>
      </w:r>
    </w:p>
    <w:p w14:paraId="270502F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pacing w:val="-11"/>
          <w:sz w:val="44"/>
          <w:szCs w:val="44"/>
          <w:lang w:val="en-US" w:eastAsia="zh-CN"/>
        </w:rPr>
      </w:pPr>
    </w:p>
    <w:p w14:paraId="1CE8DAA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pacing w:val="-11"/>
          <w:sz w:val="44"/>
          <w:szCs w:val="44"/>
          <w:lang w:val="en-US" w:eastAsia="zh-CN"/>
        </w:rPr>
      </w:pPr>
      <w:r>
        <w:rPr>
          <w:rFonts w:hint="default" w:ascii="Times New Roman" w:hAnsi="Times New Roman" w:eastAsia="方正小标宋_GBK" w:cs="Times New Roman"/>
          <w:spacing w:val="-11"/>
          <w:sz w:val="44"/>
          <w:szCs w:val="44"/>
          <w:lang w:val="en-US" w:eastAsia="zh-CN"/>
        </w:rPr>
        <w:t>黄山高新区“双招双引增动能”</w:t>
      </w:r>
      <w:r>
        <w:rPr>
          <w:rFonts w:hint="eastAsia" w:ascii="Times New Roman" w:hAnsi="Times New Roman" w:eastAsia="方正小标宋_GBK" w:cs="Times New Roman"/>
          <w:spacing w:val="-11"/>
          <w:sz w:val="44"/>
          <w:szCs w:val="44"/>
          <w:lang w:val="en-US" w:eastAsia="zh-CN"/>
        </w:rPr>
        <w:t>攻坚工程</w:t>
      </w:r>
      <w:r>
        <w:rPr>
          <w:rFonts w:hint="default" w:ascii="Times New Roman" w:hAnsi="Times New Roman" w:eastAsia="方正小标宋_GBK" w:cs="Times New Roman"/>
          <w:spacing w:val="-11"/>
          <w:sz w:val="44"/>
          <w:szCs w:val="44"/>
          <w:lang w:val="en-US" w:eastAsia="zh-CN"/>
        </w:rPr>
        <w:t>行动方案</w:t>
      </w:r>
    </w:p>
    <w:p w14:paraId="6F7A5C64">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ascii="Times New Roman" w:hAnsi="Times New Roman" w:eastAsia="方正仿宋_GBK" w:cs="Times New Roman"/>
          <w:sz w:val="30"/>
          <w:szCs w:val="30"/>
          <w:lang w:val="en-US" w:eastAsia="zh-CN"/>
        </w:rPr>
      </w:pPr>
    </w:p>
    <w:p w14:paraId="7A5AC9C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围绕“创新高地、产业兴城”发展定位，以“比发展、讲奉献、重实干”为主题推进作风建设，开展实施“1227”工程，聚焦“主要经济指标走在全市前列实现新作为、重大项目加快推进取得新突破、产业招商集聚开创新局面”，特制定本行动方案。</w:t>
      </w:r>
    </w:p>
    <w:p w14:paraId="3FC1A16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一、建设目标</w:t>
      </w:r>
    </w:p>
    <w:p w14:paraId="6D4A495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2025年新签亿元以上项目23个，新签项目总投资额增长15%，全年到位资金增长15%；新建省外亿元以上项目18个，实际利用省外到位资金超38亿元。新建沪苏浙纳统项目9个，沪苏浙纳统项目到位资金22亿元；徽商回归项目5个，徽商回归到位资金5亿元以上。</w:t>
      </w:r>
    </w:p>
    <w:p w14:paraId="10B1D0B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二、重点任务</w:t>
      </w:r>
    </w:p>
    <w:p w14:paraId="5524B54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（一）聚焦主导产业打造链长企业</w:t>
      </w:r>
    </w:p>
    <w:p w14:paraId="6C47188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围绕汽车零部件产业，在链式招商上下功夫，加快打造新能源汽车零部件产业链，围绕光洋股份等“链主型”企业，着力引进上下游配套产业项目。围绕德恒汽车白车身、奥思伟尔、辅易航、普曼工业机器人等德恒系汽车零配件项目，利用盘活原卓达地块厂房的资源，着力打造总投资10亿元的汽车零部件超级工厂，形成相当规模的产业集聚。</w:t>
      </w:r>
    </w:p>
    <w:p w14:paraId="7D55097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（二）聚焦内培外引形成产业聚集</w:t>
      </w:r>
    </w:p>
    <w:p w14:paraId="5AC04AE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加大本土企业培育力度，优化产业、市场、融资等服务措施，引导要素向本土优质企业聚集，协助打开内外营销网络，推动瑞兴汽车电子、科润智控等项目增资扩产，培养一批具有行业影响力的头部企业。同时通过以商引商、合作招商等方式，围绕小罐茶、富乐新能源、中国银联等本土企业，引进上下游配套企业，打通产业链，形成产业聚集。</w:t>
      </w:r>
    </w:p>
    <w:p w14:paraId="7976C73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（三）聚焦资本赋能创新招商思路</w:t>
      </w:r>
    </w:p>
    <w:p w14:paraId="2FDB99A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持续贯彻落实“148”工作机制及“四位一体”工作方法，推行“政府+公司+专业机构”联动招商模式，联动市区两级产业引导基金“以投促引”“招投联动”，继续与市级国资共同推进博泰车联网、登特菲手术导航机器人、一汽挚途等一批优质项目投资落地，形成“资本+产业”“链主+基金”投资合力。</w:t>
      </w:r>
    </w:p>
    <w:p w14:paraId="35B528B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借鉴先发地区经验做法，谋划成立招商公司，积极寻找市场化招商公司合作，以实体制造业招引＋引税＋招商运营的模式实现产值和税收双落地，力争通过市场化手段实现政策招引加运营服务的新模式。</w:t>
      </w:r>
    </w:p>
    <w:p w14:paraId="4893E17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（四）聚焦包保服务提升营商环境</w:t>
      </w:r>
    </w:p>
    <w:p w14:paraId="2D6087B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制定招商引资项目全生命周期服务制度，设立项目专员，开展全员招商服务，对项目实行包保式服务和“一企一档”管理，持续</w:t>
      </w:r>
      <w:r>
        <w:rPr>
          <w:rFonts w:hint="default" w:ascii="Times New Roman" w:hAnsi="Times New Roman" w:eastAsia="方正仿宋_GB2312" w:cs="Times New Roman"/>
          <w:sz w:val="32"/>
          <w:szCs w:val="32"/>
          <w:lang w:val="en-US" w:eastAsia="zh-CN"/>
        </w:rPr>
        <w:t>跟踪</w:t>
      </w:r>
      <w:r>
        <w:rPr>
          <w:rFonts w:hint="default" w:ascii="Times New Roman" w:hAnsi="Times New Roman" w:eastAsia="方正仿宋_GB2312" w:cs="Times New Roman"/>
          <w:sz w:val="32"/>
          <w:szCs w:val="32"/>
          <w:lang w:eastAsia="zh-CN"/>
        </w:rPr>
        <w:t>对接</w:t>
      </w:r>
      <w:r>
        <w:rPr>
          <w:rFonts w:hint="default" w:ascii="Times New Roman" w:hAnsi="Times New Roman" w:eastAsia="方正仿宋_GB2312" w:cs="Times New Roman"/>
          <w:sz w:val="32"/>
          <w:szCs w:val="32"/>
          <w:lang w:val="en-US" w:eastAsia="zh-CN"/>
        </w:rPr>
        <w:t>企业</w:t>
      </w:r>
      <w:r>
        <w:rPr>
          <w:rFonts w:hint="default" w:ascii="Times New Roman" w:hAnsi="Times New Roman" w:eastAsia="方正仿宋_GB2312" w:cs="Times New Roman"/>
          <w:sz w:val="32"/>
          <w:szCs w:val="32"/>
          <w:lang w:eastAsia="zh-CN"/>
        </w:rPr>
        <w:t>，</w:t>
      </w:r>
      <w:r>
        <w:rPr>
          <w:rFonts w:hint="default" w:ascii="Times New Roman" w:hAnsi="Times New Roman" w:eastAsia="仿宋_GB2312" w:cs="Times New Roman"/>
          <w:b w:val="0"/>
          <w:bCs w:val="0"/>
          <w:kern w:val="2"/>
          <w:sz w:val="32"/>
          <w:szCs w:val="32"/>
          <w:lang w:val="en-US" w:eastAsia="zh-CN" w:bidi="ar-SA"/>
        </w:rPr>
        <w:t>统筹协调项目在建设过程中出现的问题，跟踪对接各职能部门解决业主反馈的合理需求。统筹协调定期会商，</w:t>
      </w:r>
      <w:r>
        <w:rPr>
          <w:rFonts w:hint="default" w:ascii="Times New Roman" w:hAnsi="Times New Roman" w:eastAsia="方正仿宋_GB2312" w:cs="Times New Roman"/>
          <w:sz w:val="32"/>
          <w:szCs w:val="32"/>
          <w:lang w:val="en-US" w:eastAsia="zh-CN"/>
        </w:rPr>
        <w:t>着力解决项目推进过程中出现的问题。推动项目签约后的落地实施，推进项目履约达效，</w:t>
      </w:r>
      <w:r>
        <w:rPr>
          <w:rFonts w:hint="default" w:ascii="Times New Roman" w:hAnsi="Times New Roman" w:eastAsia="方正仿宋_GB2312" w:cs="Times New Roman"/>
          <w:sz w:val="32"/>
          <w:szCs w:val="32"/>
          <w:lang w:eastAsia="zh-CN"/>
        </w:rPr>
        <w:t>促进高新区产业升级。</w:t>
      </w:r>
    </w:p>
    <w:p w14:paraId="511E179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（五）聚焦人才引进打造发展高地</w:t>
      </w:r>
    </w:p>
    <w:p w14:paraId="31C229F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坚持“以产聚才、以才强产”，紧紧围绕“因地制宜发展新质生产力”，准确把握黄山高新区资源禀赋和特色产业优势，聚焦智能制造、新一代信息技术、生命健康三大主导产业，联合国内优势高校院所、企业，带动形成一批高水平创新团队。利用迎客松英才计划、迎客松创意创新创业大赛等平台，大力构建覆盖创新型中小企业、专精特新“小巨人”、制造业单项冠军、领航企业的人才培育体系，为广大人才提供成长沃土。</w:t>
      </w:r>
    </w:p>
    <w:p w14:paraId="272D0C4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三、保障措施</w:t>
      </w:r>
    </w:p>
    <w:p w14:paraId="4A2982A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落实牵头领导负责制和招商引资项目全生命周期服务制度，会同开投集团及管委会各内设部门协同推进，明确责任分工，定期会商调度，及时向牵头领导汇报项目进展中需要解决的问题，做好项目招引及企业服务工作。</w:t>
      </w:r>
    </w:p>
    <w:p w14:paraId="0A951E2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四、组织领导</w:t>
      </w:r>
    </w:p>
    <w:p w14:paraId="38B05F9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牵头领导：江程</w:t>
      </w:r>
    </w:p>
    <w:p w14:paraId="1518BE1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责任领导：</w:t>
      </w:r>
      <w:r>
        <w:rPr>
          <w:rFonts w:hint="eastAsia" w:ascii="Times New Roman" w:hAnsi="Times New Roman" w:eastAsia="楷体_GB2312" w:cs="Times New Roman"/>
          <w:b/>
          <w:bCs/>
          <w:sz w:val="32"/>
          <w:szCs w:val="32"/>
          <w:lang w:val="en-US" w:eastAsia="zh-CN"/>
        </w:rPr>
        <w:t>方应艰、</w:t>
      </w:r>
      <w:r>
        <w:rPr>
          <w:rFonts w:hint="default" w:ascii="Times New Roman" w:hAnsi="Times New Roman" w:eastAsia="楷体_GB2312" w:cs="Times New Roman"/>
          <w:b/>
          <w:bCs/>
          <w:sz w:val="32"/>
          <w:szCs w:val="32"/>
          <w:lang w:val="en-US" w:eastAsia="zh-CN"/>
        </w:rPr>
        <w:t>朱永进、汪顺泉、黄方略</w:t>
      </w:r>
    </w:p>
    <w:p w14:paraId="253B87E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牵头部门：投资促进局</w:t>
      </w:r>
    </w:p>
    <w:p w14:paraId="6BA6203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责任（协同）部门：开投集团、</w:t>
      </w:r>
      <w:r>
        <w:rPr>
          <w:rFonts w:hint="eastAsia" w:ascii="Times New Roman" w:hAnsi="Times New Roman" w:eastAsia="楷体_GB2312" w:cs="Times New Roman"/>
          <w:b/>
          <w:bCs/>
          <w:sz w:val="32"/>
          <w:szCs w:val="32"/>
          <w:lang w:val="en-US" w:eastAsia="zh-CN"/>
        </w:rPr>
        <w:t>新潭镇、</w:t>
      </w:r>
      <w:r>
        <w:rPr>
          <w:rFonts w:hint="default" w:ascii="Times New Roman" w:hAnsi="Times New Roman" w:eastAsia="楷体_GB2312" w:cs="Times New Roman"/>
          <w:b/>
          <w:bCs/>
          <w:sz w:val="32"/>
          <w:szCs w:val="32"/>
          <w:lang w:val="en-US" w:eastAsia="zh-CN"/>
        </w:rPr>
        <w:t>党群部、发改局、经贸局、资规分局</w:t>
      </w:r>
    </w:p>
    <w:p w14:paraId="7F2663C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“双招双引增动能”攻坚工程行动领导小组办公室设在投资促进局，江程同志兼任办公室主任，伊浩楠同志兼任办公室副主任。</w:t>
      </w:r>
    </w:p>
    <w:p w14:paraId="0C34F72D">
      <w:pPr>
        <w:pStyle w:val="3"/>
        <w:pageBreakBefore w:val="0"/>
        <w:kinsoku/>
        <w:wordWrap/>
        <w:overflowPunct/>
        <w:topLinePunct w:val="0"/>
        <w:autoSpaceDN/>
        <w:bidi w:val="0"/>
        <w:spacing w:before="0" w:after="0" w:line="560" w:lineRule="exact"/>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附件4</w:t>
      </w:r>
    </w:p>
    <w:p w14:paraId="0366DE1E">
      <w:pPr>
        <w:rPr>
          <w:rFonts w:hint="eastAsia"/>
          <w:lang w:val="en-US" w:eastAsia="zh-CN"/>
        </w:rPr>
      </w:pPr>
    </w:p>
    <w:p w14:paraId="7246819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b w:val="0"/>
          <w:bCs w:val="0"/>
          <w:spacing w:val="-11"/>
          <w:sz w:val="44"/>
          <w:szCs w:val="44"/>
          <w:lang w:val="en-US" w:eastAsia="zh-CN"/>
        </w:rPr>
      </w:pPr>
      <w:r>
        <w:rPr>
          <w:rFonts w:hint="default" w:ascii="Times New Roman" w:hAnsi="Times New Roman" w:eastAsia="方正小标宋_GBK" w:cs="Times New Roman"/>
          <w:b w:val="0"/>
          <w:bCs w:val="0"/>
          <w:spacing w:val="-11"/>
          <w:sz w:val="44"/>
          <w:szCs w:val="44"/>
          <w:lang w:val="en-US" w:eastAsia="zh-CN"/>
        </w:rPr>
        <w:t>黄山高新区“要素保障强承载”攻坚工程行动方案</w:t>
      </w:r>
    </w:p>
    <w:p w14:paraId="0B20F38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cs="Times New Roman" w:eastAsiaTheme="majorEastAsia"/>
          <w:b/>
          <w:bCs/>
          <w:sz w:val="44"/>
          <w:szCs w:val="44"/>
          <w:lang w:val="en-US" w:eastAsia="zh-CN"/>
        </w:rPr>
      </w:pPr>
    </w:p>
    <w:p w14:paraId="54A9872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仿宋_GB2312" w:cs="Times New Roman"/>
          <w:bCs/>
          <w:kern w:val="2"/>
          <w:sz w:val="32"/>
          <w:szCs w:val="32"/>
          <w:lang w:val="en-US" w:eastAsia="zh-CN" w:bidi="ar-SA"/>
        </w:rPr>
        <w:t>围绕“创新高地、产业兴城”发展定位，以“比发展、讲奉献、重实干”为主题推进作风建设，开展实施“1117”工程，聚焦“主要经济指标走在全市前列实现新作为、重大项目加快推进取得新突破、产业招商集聚开创新局面”。</w:t>
      </w:r>
    </w:p>
    <w:p w14:paraId="32C7597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kern w:val="2"/>
          <w:sz w:val="32"/>
          <w:szCs w:val="32"/>
          <w:u w:val="none" w:color="auto"/>
          <w:lang w:val="en-US" w:eastAsia="zh-CN" w:bidi="ar-SA"/>
        </w:rPr>
      </w:pPr>
      <w:r>
        <w:rPr>
          <w:rFonts w:hint="default" w:ascii="Times New Roman" w:hAnsi="Times New Roman" w:eastAsia="黑体" w:cs="Times New Roman"/>
          <w:kern w:val="2"/>
          <w:sz w:val="32"/>
          <w:szCs w:val="32"/>
          <w:u w:val="none" w:color="auto"/>
          <w:lang w:val="en-US" w:eastAsia="zh-CN" w:bidi="ar-SA"/>
        </w:rPr>
        <w:t>一、建设目标</w:t>
      </w:r>
    </w:p>
    <w:p w14:paraId="3D6FCB8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黑体_GBK" w:cs="Times New Roman"/>
          <w:sz w:val="30"/>
          <w:szCs w:val="30"/>
          <w:lang w:val="en-US" w:eastAsia="zh-CN"/>
        </w:rPr>
      </w:pPr>
      <w:r>
        <w:rPr>
          <w:rFonts w:hint="default" w:ascii="Times New Roman" w:hAnsi="Times New Roman" w:eastAsia="仿宋_GB2312" w:cs="Times New Roman"/>
          <w:bCs/>
          <w:kern w:val="2"/>
          <w:sz w:val="32"/>
          <w:szCs w:val="32"/>
          <w:lang w:val="en-US" w:eastAsia="zh-CN" w:bidi="ar-SA"/>
        </w:rPr>
        <w:t>落实开发区公告目录更新及调区工作，保障优化产业格局，提升工业用地率达70%以上；严守耕地保护红线，持续优化占补空间，完成600亩耕地恢复任务；提升用地要素保障能力，完善存量工业用地900亩供应，储备工业用地800亩，力争</w:t>
      </w:r>
      <w:r>
        <w:rPr>
          <w:rFonts w:hint="eastAsia" w:ascii="Times New Roman" w:hAnsi="Times New Roman" w:eastAsia="仿宋_GB2312" w:cs="Times New Roman"/>
          <w:bCs/>
          <w:kern w:val="2"/>
          <w:sz w:val="32"/>
          <w:szCs w:val="32"/>
          <w:lang w:val="en-US" w:eastAsia="zh-CN" w:bidi="ar-SA"/>
        </w:rPr>
        <w:t>处置低效</w:t>
      </w:r>
      <w:r>
        <w:rPr>
          <w:rFonts w:hint="default" w:ascii="Times New Roman" w:hAnsi="Times New Roman" w:eastAsia="仿宋_GB2312" w:cs="Times New Roman"/>
          <w:bCs/>
          <w:kern w:val="2"/>
          <w:sz w:val="32"/>
          <w:szCs w:val="32"/>
          <w:lang w:val="en-US" w:eastAsia="zh-CN" w:bidi="ar-SA"/>
        </w:rPr>
        <w:t>用地300亩以上</w:t>
      </w:r>
      <w:r>
        <w:rPr>
          <w:rFonts w:hint="eastAsia" w:ascii="Times New Roman" w:hAnsi="Times New Roman" w:eastAsia="仿宋_GB2312" w:cs="Times New Roman"/>
          <w:bCs/>
          <w:kern w:val="2"/>
          <w:sz w:val="32"/>
          <w:szCs w:val="32"/>
          <w:lang w:val="en-US" w:eastAsia="zh-CN" w:bidi="ar-SA"/>
        </w:rPr>
        <w:t>。</w:t>
      </w:r>
      <w:r>
        <w:rPr>
          <w:rFonts w:hint="default" w:ascii="Times New Roman" w:hAnsi="Times New Roman" w:eastAsia="仿宋_GB2312" w:cs="Times New Roman"/>
          <w:bCs/>
          <w:kern w:val="2"/>
          <w:sz w:val="32"/>
          <w:szCs w:val="32"/>
          <w:lang w:val="en-US" w:eastAsia="zh-CN" w:bidi="ar-SA"/>
        </w:rPr>
        <w:t>积极探索灵活用地方式，解决土地办证难题。确保项目落地要素保障得力，项目建设流程监管到位，保障项目用地空间可持续发展。</w:t>
      </w:r>
    </w:p>
    <w:p w14:paraId="312013F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kern w:val="2"/>
          <w:sz w:val="32"/>
          <w:szCs w:val="32"/>
          <w:u w:val="none" w:color="auto"/>
          <w:lang w:val="en-US" w:eastAsia="zh-CN" w:bidi="ar-SA"/>
        </w:rPr>
      </w:pPr>
      <w:r>
        <w:rPr>
          <w:rFonts w:hint="default" w:ascii="Times New Roman" w:hAnsi="Times New Roman" w:eastAsia="黑体" w:cs="Times New Roman"/>
          <w:kern w:val="2"/>
          <w:sz w:val="32"/>
          <w:szCs w:val="32"/>
          <w:u w:val="none" w:color="auto"/>
          <w:lang w:val="en-US" w:eastAsia="zh-CN" w:bidi="ar-SA"/>
        </w:rPr>
        <w:t>二、重点任务</w:t>
      </w:r>
    </w:p>
    <w:p w14:paraId="2DFA06C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楷体_GB2312" w:cs="Times New Roman"/>
          <w:b/>
          <w:bCs w:val="0"/>
          <w:kern w:val="2"/>
          <w:sz w:val="32"/>
          <w:szCs w:val="32"/>
          <w:lang w:val="en-US" w:eastAsia="zh-CN" w:bidi="ar-SA"/>
        </w:rPr>
      </w:pPr>
      <w:r>
        <w:rPr>
          <w:rFonts w:hint="default" w:ascii="Times New Roman" w:hAnsi="Times New Roman" w:eastAsia="楷体_GB2312" w:cs="Times New Roman"/>
          <w:b/>
          <w:bCs w:val="0"/>
          <w:kern w:val="2"/>
          <w:sz w:val="32"/>
          <w:szCs w:val="32"/>
          <w:lang w:val="en-US" w:eastAsia="zh-CN" w:bidi="ar-SA"/>
        </w:rPr>
        <w:t>（一）科学规划布局体现集群效益</w:t>
      </w:r>
    </w:p>
    <w:p w14:paraId="68C596C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仿宋_GB2312" w:cs="Times New Roman"/>
          <w:bCs/>
          <w:kern w:val="2"/>
          <w:sz w:val="32"/>
          <w:szCs w:val="32"/>
          <w:lang w:val="en-US" w:eastAsia="zh-CN" w:bidi="ar-SA"/>
        </w:rPr>
        <w:t>结合《黄山市国土空间总体规划》合理布局产业功能分区，明确不同区域的主导产业和用地性质。通过开发区公告目录更新及调区工作，剔除“城”、留住“产”的方式，提升可持续发展空间。在调整的新区范围内未建成区域增至2.91平方公里，其中工业用地2.48平方公里，建成工业用地率为75.14%、规划工业用地率75.34%。在园区规划中，根据产业发展趋势和潜在项目需求，预留一定比例的土地作为弹性发展空间及发展空间，剩余可供应土地为2019—2023年年均供地面积的4.1倍。避免因土地规划僵化，无法满足未来新兴项目或扩大生产规模的需求。</w:t>
      </w:r>
    </w:p>
    <w:p w14:paraId="0619F65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楷体_GB2312" w:cs="Times New Roman"/>
          <w:b/>
          <w:bCs w:val="0"/>
          <w:kern w:val="2"/>
          <w:sz w:val="32"/>
          <w:szCs w:val="32"/>
          <w:lang w:val="en-US" w:eastAsia="zh-CN" w:bidi="ar-SA"/>
        </w:rPr>
      </w:pPr>
      <w:r>
        <w:rPr>
          <w:rFonts w:hint="default" w:ascii="Times New Roman" w:hAnsi="Times New Roman" w:eastAsia="楷体_GB2312" w:cs="Times New Roman"/>
          <w:b/>
          <w:bCs w:val="0"/>
          <w:kern w:val="2"/>
          <w:sz w:val="32"/>
          <w:szCs w:val="32"/>
          <w:lang w:val="en-US" w:eastAsia="zh-CN" w:bidi="ar-SA"/>
        </w:rPr>
        <w:t>（二）守牢耕地保护红线，提升可持续发展能力</w:t>
      </w:r>
    </w:p>
    <w:p w14:paraId="57EA1FFD">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ascii="Times New Roman" w:hAnsi="Times New Roman" w:eastAsia="方正仿宋_GBK" w:cs="Times New Roman"/>
          <w:sz w:val="30"/>
          <w:szCs w:val="30"/>
          <w:lang w:val="en-US" w:eastAsia="zh-CN"/>
        </w:rPr>
      </w:pPr>
      <w:r>
        <w:rPr>
          <w:rFonts w:hint="default" w:ascii="Times New Roman" w:hAnsi="Times New Roman" w:eastAsia="方正仿宋_GBK" w:cs="Times New Roman"/>
          <w:sz w:val="30"/>
          <w:szCs w:val="30"/>
          <w:lang w:val="en-US" w:eastAsia="zh-CN"/>
        </w:rPr>
        <w:t>1.</w:t>
      </w:r>
      <w:r>
        <w:rPr>
          <w:rFonts w:hint="default" w:ascii="Times New Roman" w:hAnsi="Times New Roman" w:eastAsia="仿宋_GB2312" w:cs="Times New Roman"/>
          <w:bCs/>
          <w:kern w:val="2"/>
          <w:sz w:val="32"/>
          <w:szCs w:val="32"/>
          <w:lang w:val="en-US" w:eastAsia="zh-CN" w:bidi="ar-SA"/>
        </w:rPr>
        <w:t>严守政府下达高新区永久基本农田保护控制数为12590亩保护红线，耕地总量面积20566亩。根据市政府下达耕地恢复任务，全年力争完成耕地恢复600亩。</w:t>
      </w:r>
    </w:p>
    <w:p w14:paraId="406339C8">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方正仿宋_GBK" w:cs="Times New Roman"/>
          <w:sz w:val="30"/>
          <w:szCs w:val="30"/>
          <w:lang w:val="en-US" w:eastAsia="zh-CN"/>
        </w:rPr>
        <w:t>2.</w:t>
      </w:r>
      <w:r>
        <w:rPr>
          <w:rFonts w:hint="default" w:ascii="Times New Roman" w:hAnsi="Times New Roman" w:eastAsia="仿宋_GB2312" w:cs="Times New Roman"/>
          <w:bCs/>
          <w:kern w:val="2"/>
          <w:sz w:val="32"/>
          <w:szCs w:val="32"/>
          <w:lang w:val="en-US" w:eastAsia="zh-CN" w:bidi="ar-SA"/>
        </w:rPr>
        <w:t>提升可持续发展能力，推进高新区资源一张图，结合“大占补”政策，落实林草湿普查成果，优化耕地、林地占补空间。</w:t>
      </w:r>
    </w:p>
    <w:p w14:paraId="674C164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仿宋_GB2312" w:cs="Times New Roman"/>
          <w:bCs/>
          <w:kern w:val="2"/>
          <w:sz w:val="32"/>
          <w:szCs w:val="32"/>
          <w:lang w:val="en-US" w:eastAsia="zh-CN" w:bidi="ar-SA"/>
        </w:rPr>
        <w:t>3.妥善处置历史违法用地，杜绝新增违法用地再生，守牢耕地保护红线。</w:t>
      </w:r>
    </w:p>
    <w:p w14:paraId="31617E5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楷体_GB2312" w:cs="Times New Roman"/>
          <w:b/>
          <w:bCs w:val="0"/>
          <w:kern w:val="2"/>
          <w:sz w:val="32"/>
          <w:szCs w:val="32"/>
          <w:lang w:val="en-US" w:eastAsia="zh-CN" w:bidi="ar-SA"/>
        </w:rPr>
      </w:pPr>
      <w:r>
        <w:rPr>
          <w:rFonts w:hint="default" w:ascii="Times New Roman" w:hAnsi="Times New Roman" w:eastAsia="楷体_GB2312" w:cs="Times New Roman"/>
          <w:b/>
          <w:bCs w:val="0"/>
          <w:kern w:val="2"/>
          <w:sz w:val="32"/>
          <w:szCs w:val="32"/>
          <w:lang w:val="en-US" w:eastAsia="zh-CN" w:bidi="ar-SA"/>
        </w:rPr>
        <w:t>（三）加强土地供应要素保障与土地供应监管</w:t>
      </w:r>
    </w:p>
    <w:p w14:paraId="0178AA3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仿宋_GB2312" w:cs="Times New Roman"/>
          <w:bCs/>
          <w:kern w:val="2"/>
          <w:sz w:val="32"/>
          <w:szCs w:val="32"/>
          <w:lang w:val="en-US" w:eastAsia="zh-CN" w:bidi="ar-SA"/>
        </w:rPr>
        <w:t>1.土地供应要素保障：一是做好“五大计划”用地供应保障；二是激活提升已批未供存量工业土地，通过完成健康产业园健二路、丹霞路等基础设施建设及完善相关用地手续，激活存量工业用地约900亩的要素保障工作；三是积极谋划产业发展及用地保障，通过新增报批范围拟将储备工业用地826亩，达到供应条件。</w:t>
      </w:r>
    </w:p>
    <w:p w14:paraId="1AF3CE9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仿宋_GB2312" w:cs="Times New Roman"/>
          <w:bCs/>
          <w:kern w:val="2"/>
          <w:sz w:val="32"/>
          <w:szCs w:val="32"/>
          <w:lang w:val="en-US" w:eastAsia="zh-CN" w:bidi="ar-SA"/>
        </w:rPr>
        <w:t>2.土地供应监管：依据《土地监管协议》要求，结合供后监管系统加强对园区土地使用的动态监管，并协助开展固投、税收达产审核，出具监管工作提示函，确保土地供应高效使用。</w:t>
      </w:r>
    </w:p>
    <w:p w14:paraId="5C406E9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楷体_GB2312" w:cs="Times New Roman"/>
          <w:b/>
          <w:bCs w:val="0"/>
          <w:kern w:val="2"/>
          <w:sz w:val="32"/>
          <w:szCs w:val="32"/>
          <w:lang w:val="en-US" w:eastAsia="zh-CN" w:bidi="ar-SA"/>
        </w:rPr>
      </w:pPr>
      <w:r>
        <w:rPr>
          <w:rFonts w:hint="default" w:ascii="Times New Roman" w:hAnsi="Times New Roman" w:eastAsia="楷体_GB2312" w:cs="Times New Roman"/>
          <w:b/>
          <w:bCs w:val="0"/>
          <w:kern w:val="2"/>
          <w:sz w:val="32"/>
          <w:szCs w:val="32"/>
          <w:lang w:val="en-US" w:eastAsia="zh-CN" w:bidi="ar-SA"/>
        </w:rPr>
        <w:t>（四）探索灵活的土地供应方式</w:t>
      </w:r>
    </w:p>
    <w:p w14:paraId="3950F16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仿宋_GB2312" w:cs="Times New Roman"/>
          <w:bCs/>
          <w:kern w:val="2"/>
          <w:sz w:val="32"/>
          <w:szCs w:val="32"/>
          <w:lang w:val="en-US" w:eastAsia="zh-CN" w:bidi="ar-SA"/>
        </w:rPr>
        <w:t>结合未来科技园、多弗产业园等项目探索采用多种土地出让方式相结合的模式。如采用长期租赁、先租后让、弹性年期出让等方式，除了传统的招拍挂出让方式外，对于符合园区产业导向的特定项目，可以探索协议出让、租赁等方式。对于一些初创型的科技企业，可以采用短期租赁土地的方式，降低企业的初始成本，待企业发展稳定后再考虑其他土地使用方式。</w:t>
      </w:r>
    </w:p>
    <w:p w14:paraId="72E4B01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kern w:val="2"/>
          <w:sz w:val="32"/>
          <w:szCs w:val="32"/>
          <w:u w:val="none" w:color="auto"/>
          <w:lang w:val="en-US" w:eastAsia="zh-CN" w:bidi="ar-SA"/>
        </w:rPr>
      </w:pPr>
      <w:r>
        <w:rPr>
          <w:rFonts w:hint="default" w:ascii="Times New Roman" w:hAnsi="Times New Roman" w:eastAsia="黑体" w:cs="Times New Roman"/>
          <w:kern w:val="2"/>
          <w:sz w:val="32"/>
          <w:szCs w:val="32"/>
          <w:u w:val="none" w:color="auto"/>
          <w:lang w:val="en-US" w:eastAsia="zh-CN" w:bidi="ar-SA"/>
        </w:rPr>
        <w:t>三、保障措施</w:t>
      </w:r>
    </w:p>
    <w:p w14:paraId="602AF10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仿宋_GB2312" w:cs="Times New Roman"/>
          <w:bCs/>
          <w:kern w:val="2"/>
          <w:sz w:val="32"/>
          <w:szCs w:val="32"/>
          <w:lang w:val="en-US" w:eastAsia="zh-CN" w:bidi="ar-SA"/>
        </w:rPr>
        <w:t>坚持“月调度、季小结、半年回头看”，深入基层、靠前指挥，对工作推进过程中发现的问题及时专题协调。各责任部门要切实发挥职能，主动担当作为，动态汇总掌握和分析研判推进情况，及时落实各项工作任务。</w:t>
      </w:r>
    </w:p>
    <w:p w14:paraId="1E1A14A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kern w:val="2"/>
          <w:sz w:val="32"/>
          <w:szCs w:val="32"/>
          <w:u w:val="none" w:color="auto"/>
          <w:lang w:val="en-US" w:eastAsia="zh-CN" w:bidi="ar-SA"/>
        </w:rPr>
      </w:pPr>
      <w:r>
        <w:rPr>
          <w:rFonts w:hint="default" w:ascii="Times New Roman" w:hAnsi="Times New Roman" w:eastAsia="黑体" w:cs="Times New Roman"/>
          <w:kern w:val="2"/>
          <w:sz w:val="32"/>
          <w:szCs w:val="32"/>
          <w:u w:val="none" w:color="auto"/>
          <w:lang w:val="en-US" w:eastAsia="zh-CN" w:bidi="ar-SA"/>
        </w:rPr>
        <w:t>四、组织领导</w:t>
      </w:r>
    </w:p>
    <w:p w14:paraId="3E01EF51">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楷体" w:cs="Times New Roman"/>
          <w:b/>
          <w:bCs/>
          <w:sz w:val="32"/>
          <w:szCs w:val="32"/>
          <w:lang w:val="en-US" w:eastAsia="zh-CN"/>
        </w:rPr>
      </w:pPr>
      <w:r>
        <w:rPr>
          <w:rFonts w:hint="default" w:ascii="Times New Roman" w:hAnsi="Times New Roman" w:eastAsia="楷体" w:cs="Times New Roman"/>
          <w:b/>
          <w:bCs/>
          <w:sz w:val="32"/>
          <w:szCs w:val="32"/>
          <w:lang w:val="en-US" w:eastAsia="zh-CN"/>
        </w:rPr>
        <w:t>牵头领导：汪顺泉</w:t>
      </w:r>
    </w:p>
    <w:p w14:paraId="143D0F0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楷体" w:cs="Times New Roman"/>
          <w:b/>
          <w:bCs/>
          <w:sz w:val="32"/>
          <w:szCs w:val="32"/>
          <w:lang w:val="en-US" w:eastAsia="zh-CN"/>
        </w:rPr>
      </w:pPr>
      <w:r>
        <w:rPr>
          <w:rFonts w:hint="eastAsia" w:ascii="Times New Roman" w:hAnsi="Times New Roman" w:eastAsia="楷体" w:cs="Times New Roman"/>
          <w:b/>
          <w:bCs/>
          <w:sz w:val="32"/>
          <w:szCs w:val="32"/>
          <w:lang w:val="en-US" w:eastAsia="zh-CN"/>
        </w:rPr>
        <w:t>责任领导：韩建予、江程</w:t>
      </w:r>
    </w:p>
    <w:p w14:paraId="03C90D1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楷体" w:cs="Times New Roman"/>
          <w:b/>
          <w:bCs/>
          <w:sz w:val="32"/>
          <w:szCs w:val="32"/>
          <w:lang w:val="en-US" w:eastAsia="zh-CN"/>
        </w:rPr>
      </w:pPr>
      <w:r>
        <w:rPr>
          <w:rFonts w:hint="default" w:ascii="Times New Roman" w:hAnsi="Times New Roman" w:eastAsia="楷体" w:cs="Times New Roman"/>
          <w:b/>
          <w:bCs/>
          <w:sz w:val="32"/>
          <w:szCs w:val="32"/>
          <w:lang w:val="en-US" w:eastAsia="zh-CN"/>
        </w:rPr>
        <w:t>牵头部门：资规分局</w:t>
      </w:r>
    </w:p>
    <w:p w14:paraId="4A8724E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楷体" w:cs="Times New Roman"/>
          <w:b/>
          <w:bCs/>
          <w:sz w:val="32"/>
          <w:szCs w:val="32"/>
          <w:lang w:val="en-US" w:eastAsia="zh-CN"/>
        </w:rPr>
      </w:pPr>
      <w:r>
        <w:rPr>
          <w:rFonts w:hint="default" w:ascii="Times New Roman" w:hAnsi="Times New Roman" w:eastAsia="楷体" w:cs="Times New Roman"/>
          <w:b/>
          <w:bCs/>
          <w:sz w:val="32"/>
          <w:szCs w:val="32"/>
          <w:lang w:val="en-US" w:eastAsia="zh-CN"/>
        </w:rPr>
        <w:t>责任（协同）部门：开投集团、新潭镇、发改局、经贸局、招商局、住建局</w:t>
      </w:r>
    </w:p>
    <w:p w14:paraId="5716933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仿宋_GB2312" w:cs="Times New Roman"/>
          <w:bCs/>
          <w:kern w:val="2"/>
          <w:sz w:val="32"/>
          <w:szCs w:val="32"/>
          <w:lang w:val="en-US" w:eastAsia="zh-CN" w:bidi="ar-SA"/>
        </w:rPr>
        <w:t>“要素保障强承载”</w:t>
      </w:r>
      <w:r>
        <w:rPr>
          <w:rFonts w:hint="default" w:ascii="Times New Roman" w:hAnsi="Times New Roman" w:eastAsia="仿宋_GB2312" w:cs="Times New Roman"/>
          <w:sz w:val="32"/>
          <w:szCs w:val="32"/>
          <w:lang w:val="en-US" w:eastAsia="zh-CN"/>
        </w:rPr>
        <w:t>攻坚工程行动领导小组</w:t>
      </w:r>
      <w:r>
        <w:rPr>
          <w:rFonts w:hint="default" w:ascii="Times New Roman" w:hAnsi="Times New Roman" w:eastAsia="仿宋_GB2312" w:cs="Times New Roman"/>
          <w:bCs/>
          <w:kern w:val="2"/>
          <w:sz w:val="32"/>
          <w:szCs w:val="32"/>
          <w:lang w:val="en-US" w:eastAsia="zh-CN" w:bidi="ar-SA"/>
        </w:rPr>
        <w:t>办公室设在资规分局，汪顺泉同志兼任办公室主任，汪旸同志兼任办公室副主任。</w:t>
      </w:r>
    </w:p>
    <w:p w14:paraId="159A8A6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Cs/>
          <w:kern w:val="2"/>
          <w:sz w:val="32"/>
          <w:szCs w:val="32"/>
          <w:lang w:val="en-US" w:eastAsia="zh-CN" w:bidi="ar-SA"/>
        </w:rPr>
      </w:pPr>
    </w:p>
    <w:p w14:paraId="2B2A3E8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Cs/>
          <w:kern w:val="2"/>
          <w:sz w:val="32"/>
          <w:szCs w:val="32"/>
          <w:lang w:val="en-US" w:eastAsia="zh-CN" w:bidi="ar-SA"/>
        </w:rPr>
      </w:pPr>
    </w:p>
    <w:p w14:paraId="5D6A6A7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Cs/>
          <w:kern w:val="2"/>
          <w:sz w:val="32"/>
          <w:szCs w:val="32"/>
          <w:lang w:val="en-US" w:eastAsia="zh-CN" w:bidi="ar-SA"/>
        </w:rPr>
      </w:pPr>
    </w:p>
    <w:p w14:paraId="48FCD1C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Cs/>
          <w:kern w:val="2"/>
          <w:sz w:val="32"/>
          <w:szCs w:val="32"/>
          <w:lang w:val="en-US" w:eastAsia="zh-CN" w:bidi="ar-SA"/>
        </w:rPr>
      </w:pPr>
    </w:p>
    <w:p w14:paraId="618CC8F3">
      <w:pPr>
        <w:pStyle w:val="3"/>
        <w:pageBreakBefore w:val="0"/>
        <w:kinsoku/>
        <w:wordWrap/>
        <w:overflowPunct/>
        <w:topLinePunct w:val="0"/>
        <w:autoSpaceDN/>
        <w:bidi w:val="0"/>
        <w:spacing w:before="0" w:after="0" w:line="560" w:lineRule="exact"/>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附件5</w:t>
      </w:r>
    </w:p>
    <w:p w14:paraId="5697F544">
      <w:pPr>
        <w:rPr>
          <w:rFonts w:hint="eastAsia"/>
          <w:lang w:val="en-US" w:eastAsia="zh-CN"/>
        </w:rPr>
      </w:pPr>
    </w:p>
    <w:p w14:paraId="707BE8CB">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小标宋_GBK" w:cs="Times New Roman"/>
          <w:spacing w:val="-11"/>
          <w:sz w:val="44"/>
          <w:szCs w:val="44"/>
          <w:lang w:val="en-US" w:eastAsia="zh-CN"/>
        </w:rPr>
      </w:pPr>
      <w:r>
        <w:rPr>
          <w:rFonts w:hint="default" w:ascii="Times New Roman" w:hAnsi="Times New Roman" w:eastAsia="方正小标宋_GBK" w:cs="Times New Roman"/>
          <w:spacing w:val="-11"/>
          <w:sz w:val="44"/>
          <w:szCs w:val="44"/>
          <w:lang w:val="en-US" w:eastAsia="zh-CN"/>
        </w:rPr>
        <w:t>黄山高新区“税源培育优质量”</w:t>
      </w:r>
      <w:r>
        <w:rPr>
          <w:rFonts w:hint="eastAsia" w:ascii="Times New Roman" w:hAnsi="Times New Roman" w:eastAsia="方正小标宋_GBK" w:cs="Times New Roman"/>
          <w:spacing w:val="-11"/>
          <w:sz w:val="44"/>
          <w:szCs w:val="44"/>
          <w:lang w:val="en-US" w:eastAsia="zh-CN"/>
        </w:rPr>
        <w:t>攻坚工程</w:t>
      </w:r>
      <w:r>
        <w:rPr>
          <w:rFonts w:hint="default" w:ascii="Times New Roman" w:hAnsi="Times New Roman" w:eastAsia="方正小标宋_GBK" w:cs="Times New Roman"/>
          <w:spacing w:val="-11"/>
          <w:sz w:val="44"/>
          <w:szCs w:val="44"/>
          <w:lang w:val="en-US" w:eastAsia="zh-CN"/>
        </w:rPr>
        <w:t>行动方案</w:t>
      </w:r>
    </w:p>
    <w:p w14:paraId="6A171A01">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小标宋_GBK" w:cs="Times New Roman"/>
          <w:sz w:val="44"/>
          <w:szCs w:val="44"/>
          <w:lang w:val="en-US" w:eastAsia="zh-CN"/>
        </w:rPr>
      </w:pPr>
    </w:p>
    <w:p w14:paraId="43B7DEEF">
      <w:pPr>
        <w:keepNext w:val="0"/>
        <w:keepLines w:val="0"/>
        <w:pageBreakBefore w:val="0"/>
        <w:widowControl w:val="0"/>
        <w:kinsoku/>
        <w:wordWrap/>
        <w:overflowPunct/>
        <w:topLinePunct w:val="0"/>
        <w:autoSpaceDE/>
        <w:autoSpaceDN/>
        <w:bidi w:val="0"/>
        <w:adjustRightInd/>
        <w:snapToGrid/>
        <w:spacing w:line="560" w:lineRule="exact"/>
        <w:ind w:firstLine="664" w:firstLineChars="200"/>
        <w:jc w:val="both"/>
        <w:textAlignment w:val="auto"/>
        <w:rPr>
          <w:rFonts w:hint="default" w:ascii="Times New Roman" w:hAnsi="Times New Roman" w:eastAsia="仿宋_GB2312" w:cs="Times New Roman"/>
          <w:spacing w:val="6"/>
          <w:sz w:val="32"/>
          <w:szCs w:val="32"/>
          <w:lang w:val="en-US" w:eastAsia="zh-CN"/>
        </w:rPr>
      </w:pPr>
      <w:r>
        <w:rPr>
          <w:rFonts w:hint="default" w:ascii="Times New Roman" w:hAnsi="Times New Roman" w:eastAsia="仿宋_GB2312" w:cs="Times New Roman"/>
          <w:spacing w:val="6"/>
          <w:sz w:val="32"/>
          <w:szCs w:val="32"/>
          <w:lang w:val="en-US" w:eastAsia="zh-CN"/>
        </w:rPr>
        <w:t>围绕“创新高地、产业兴城”发展定位，以“比发展、讲奉献、重实干”为主题推进作风建设，开展实施“1227”工程，紧扣坚定不移推进新型工业化，实现“主要经济指标走在全市前列实现新作为、重大项目加快推进取得新突破、产业招商集聚开创新局面”市级要求，全面完成全年经济社会发展目标任务。根据“园区转型升级攻坚年”活动，特制定“税源培育优质量”行动方案。</w:t>
      </w:r>
    </w:p>
    <w:p w14:paraId="18C65A5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一、建设目标</w:t>
      </w:r>
    </w:p>
    <w:p w14:paraId="557C050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pacing w:val="-6"/>
          <w:sz w:val="32"/>
          <w:szCs w:val="32"/>
          <w:lang w:val="en-US" w:eastAsia="zh-CN"/>
        </w:rPr>
      </w:pPr>
      <w:r>
        <w:rPr>
          <w:rFonts w:hint="default" w:ascii="Times New Roman" w:hAnsi="Times New Roman" w:eastAsia="仿宋_GB2312" w:cs="Times New Roman"/>
          <w:sz w:val="32"/>
          <w:szCs w:val="32"/>
          <w:lang w:val="en-US" w:eastAsia="zh-CN"/>
        </w:rPr>
        <w:t>根据市、高新区重点工作部署，加大财源培育和协税护税力度，通过固本强基、挖掘潜力，积极培育地方税源，拓宽增收渠道，提升财政收入规模和质量，2025年实现一般公共预算收入增长2%，</w:t>
      </w:r>
      <w:r>
        <w:rPr>
          <w:rFonts w:hint="default" w:ascii="Times New Roman" w:hAnsi="Times New Roman" w:eastAsia="仿宋_GB2312" w:cs="Times New Roman"/>
          <w:color w:val="auto"/>
          <w:spacing w:val="-6"/>
          <w:kern w:val="2"/>
          <w:sz w:val="32"/>
          <w:szCs w:val="32"/>
          <w:lang w:val="en-US" w:eastAsia="zh-CN" w:bidi="ar-SA"/>
        </w:rPr>
        <w:t>税收收入同比增长10%以上</w:t>
      </w:r>
      <w:r>
        <w:rPr>
          <w:rFonts w:hint="eastAsia" w:ascii="Times New Roman" w:hAnsi="Times New Roman" w:eastAsia="仿宋_GB2312" w:cs="Times New Roman"/>
          <w:color w:val="auto"/>
          <w:spacing w:val="-6"/>
          <w:kern w:val="2"/>
          <w:sz w:val="32"/>
          <w:szCs w:val="32"/>
          <w:lang w:val="en-US" w:eastAsia="zh-CN" w:bidi="ar-SA"/>
        </w:rPr>
        <w:t>，</w:t>
      </w:r>
      <w:r>
        <w:rPr>
          <w:rFonts w:hint="eastAsia" w:ascii="Times New Roman" w:hAnsi="Times New Roman" w:eastAsia="仿宋_GB2312" w:cs="Times New Roman"/>
          <w:spacing w:val="-6"/>
          <w:sz w:val="32"/>
          <w:szCs w:val="32"/>
          <w:lang w:val="en-US" w:eastAsia="zh-CN"/>
        </w:rPr>
        <w:t>持续</w:t>
      </w:r>
      <w:r>
        <w:rPr>
          <w:rFonts w:hint="default" w:ascii="Times New Roman" w:hAnsi="Times New Roman" w:eastAsia="仿宋_GB2312" w:cs="Times New Roman"/>
          <w:spacing w:val="-6"/>
          <w:sz w:val="32"/>
          <w:szCs w:val="32"/>
          <w:lang w:val="en-US" w:eastAsia="zh-CN"/>
        </w:rPr>
        <w:t>提升财政保障水平。</w:t>
      </w:r>
    </w:p>
    <w:p w14:paraId="5D75AAF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二、重点任务</w:t>
      </w:r>
    </w:p>
    <w:p w14:paraId="51B4C15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（一）财政政策加力提效，支持培育税源基础</w:t>
      </w:r>
      <w:r>
        <w:rPr>
          <w:rFonts w:hint="eastAsia" w:ascii="Times New Roman" w:hAnsi="Times New Roman" w:eastAsia="楷体_GB2312" w:cs="Times New Roman"/>
          <w:b/>
          <w:bCs/>
          <w:sz w:val="32"/>
          <w:szCs w:val="32"/>
          <w:lang w:val="en-US" w:eastAsia="zh-CN"/>
        </w:rPr>
        <w:t>。</w:t>
      </w:r>
    </w:p>
    <w:p w14:paraId="4EE429B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1、支持新质生产力发展。</w:t>
      </w:r>
      <w:r>
        <w:rPr>
          <w:rFonts w:hint="default" w:ascii="Times New Roman" w:hAnsi="Times New Roman" w:eastAsia="仿宋_GB2312" w:cs="Times New Roman"/>
          <w:sz w:val="32"/>
          <w:szCs w:val="32"/>
          <w:lang w:val="en-US" w:eastAsia="zh-CN"/>
        </w:rPr>
        <w:t>贯彻落实更加积极的财政政策，持续用力、更加给力，打好政策‘组合拳’，认真落实好中央税费支持政策，深化惠企政策“免申即享”，让政策红利精准直达企业，支持企业转型升级，做大做强，培育一批骨干财源。</w:t>
      </w:r>
    </w:p>
    <w:p w14:paraId="1919E35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2、支持金融服务业发展。</w:t>
      </w:r>
      <w:r>
        <w:rPr>
          <w:rFonts w:hint="default" w:ascii="Times New Roman" w:hAnsi="Times New Roman" w:eastAsia="仿宋_GB2312" w:cs="Times New Roman"/>
          <w:sz w:val="32"/>
          <w:szCs w:val="32"/>
          <w:lang w:val="en-US" w:eastAsia="zh-CN"/>
        </w:rPr>
        <w:t>通过落实设备更新改造贴息、创业担保贷款贴息、政银担贷款贴息等举措，降低企业融资成本，优化金融服务质效，促使金融精准滴灌企业，助力企业发展以增加税收。培育提升银行、保险、类金融机构企业经营效益，持续提升金融类企业税收贡献。</w:t>
      </w:r>
    </w:p>
    <w:p w14:paraId="3C9B5D2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（二）坚持做好征收管理，保障税源应收尽收</w:t>
      </w:r>
      <w:r>
        <w:rPr>
          <w:rFonts w:hint="eastAsia" w:ascii="Times New Roman" w:hAnsi="Times New Roman" w:eastAsia="楷体_GB2312" w:cs="Times New Roman"/>
          <w:b/>
          <w:bCs/>
          <w:sz w:val="32"/>
          <w:szCs w:val="32"/>
          <w:lang w:val="en-US" w:eastAsia="zh-CN"/>
        </w:rPr>
        <w:t>。</w:t>
      </w:r>
    </w:p>
    <w:p w14:paraId="30BE397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1、通过加大涉税信息共享力度。</w:t>
      </w:r>
      <w:r>
        <w:rPr>
          <w:rFonts w:hint="default" w:ascii="Times New Roman" w:hAnsi="Times New Roman" w:eastAsia="仿宋_GB2312" w:cs="Times New Roman"/>
          <w:sz w:val="32"/>
          <w:szCs w:val="32"/>
          <w:lang w:val="en-US" w:eastAsia="zh-CN"/>
        </w:rPr>
        <w:t>强化财政、税务、建设、经贸等有关部门的联动，提高税收征管效能。分规模分行业分区域精准辅导工业、建筑业、房地产业、住宿餐饮业和商务服务业重点企业规范纳税，确保税收收入应收尽收、及时入库。</w:t>
      </w:r>
    </w:p>
    <w:p w14:paraId="7307EF9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2、做好欠税清理工作。</w:t>
      </w:r>
      <w:r>
        <w:rPr>
          <w:rFonts w:hint="default" w:ascii="Times New Roman" w:hAnsi="Times New Roman" w:eastAsia="仿宋_GB2312" w:cs="Times New Roman"/>
          <w:sz w:val="32"/>
          <w:szCs w:val="32"/>
          <w:lang w:val="en-US" w:eastAsia="zh-CN"/>
        </w:rPr>
        <w:t>抓住重点，突破难点，不断加大欠税清理力度，提升欠税清理质效，重点做好存量项目土地增值税、房产税等税种清理工作。</w:t>
      </w:r>
    </w:p>
    <w:p w14:paraId="326EFA81">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3、加强重点建设项目管理。</w:t>
      </w:r>
      <w:r>
        <w:rPr>
          <w:rFonts w:hint="default" w:ascii="Times New Roman" w:hAnsi="Times New Roman" w:eastAsia="仿宋_GB2312" w:cs="Times New Roman"/>
          <w:sz w:val="32"/>
          <w:szCs w:val="32"/>
          <w:lang w:val="en-US" w:eastAsia="zh-CN"/>
        </w:rPr>
        <w:t>建立重点建筑项目税费管理台账，实时关注项目实施进度，及时查找税收征管薄弱点，提高税收监管靶向性和精准性。</w:t>
      </w:r>
    </w:p>
    <w:p w14:paraId="15EAE22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bCs/>
          <w:sz w:val="32"/>
          <w:szCs w:val="32"/>
          <w:lang w:val="en-US" w:eastAsia="zh-CN"/>
        </w:rPr>
        <w:t>4、强化非税收入征管。</w:t>
      </w:r>
      <w:r>
        <w:rPr>
          <w:rFonts w:hint="default" w:ascii="Times New Roman" w:hAnsi="Times New Roman" w:eastAsia="仿宋_GB2312" w:cs="Times New Roman"/>
          <w:sz w:val="32"/>
          <w:szCs w:val="32"/>
          <w:lang w:val="en-US" w:eastAsia="zh-CN"/>
        </w:rPr>
        <w:t>加大对非税收入的征收和管理，不断降低非税收入比重，优化财政收入结构。同时，督促和指导各执收单位的非税收入征缴工作，确保非税收入及时足额入库。</w:t>
      </w:r>
    </w:p>
    <w:p w14:paraId="3A6A637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（三）认真开展税源调研，充分挖掘税源潜力</w:t>
      </w:r>
      <w:r>
        <w:rPr>
          <w:rFonts w:hint="eastAsia" w:ascii="Times New Roman" w:hAnsi="Times New Roman" w:eastAsia="楷体_GB2312" w:cs="Times New Roman"/>
          <w:b/>
          <w:bCs/>
          <w:sz w:val="32"/>
          <w:szCs w:val="32"/>
          <w:lang w:val="en-US" w:eastAsia="zh-CN"/>
        </w:rPr>
        <w:t>。</w:t>
      </w:r>
    </w:p>
    <w:p w14:paraId="67C47E7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定期组织财政、税务等部门开展税源调研，通过调研走访重点行业和重点企业，对重点行业、税种进行深入分析研判，准确掌握全年总体经济形势、税收情况，掌握重大项目、重点企业和骨干税源增减变化情况，详细了解全区税源整体情况，掌握影响税收增减变化的因素，培植挖掘新增税源，促进财政可持续发展。</w:t>
      </w:r>
    </w:p>
    <w:p w14:paraId="53EE5A6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三、保障措施</w:t>
      </w:r>
    </w:p>
    <w:p w14:paraId="3318616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在坚持“月调度、季小结、半年回头看”的基础上，每日收集整理重点项目数据库，定期组织对项目进行集中会商，对工作推进过程中发现的问题及时专题协调。责任部门要切实发挥职能，主动担当作为，牵头部门要动态汇总掌握和分析研判推进情况，及时落实各项工作任务。</w:t>
      </w:r>
    </w:p>
    <w:p w14:paraId="05ED63A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四、组织领导</w:t>
      </w:r>
    </w:p>
    <w:p w14:paraId="5D22035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牵头领导：凌巍然</w:t>
      </w:r>
    </w:p>
    <w:p w14:paraId="403F9B5C">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_GB2312" w:cs="Times New Roman"/>
          <w:b/>
          <w:bCs/>
          <w:sz w:val="32"/>
          <w:szCs w:val="32"/>
          <w:lang w:val="en-US" w:eastAsia="zh-CN"/>
        </w:rPr>
      </w:pPr>
      <w:r>
        <w:rPr>
          <w:rFonts w:hint="eastAsia" w:ascii="Times New Roman" w:hAnsi="Times New Roman" w:eastAsia="楷体_GB2312" w:cs="Times New Roman"/>
          <w:b/>
          <w:bCs/>
          <w:sz w:val="32"/>
          <w:szCs w:val="32"/>
          <w:lang w:val="en-US" w:eastAsia="zh-CN"/>
        </w:rPr>
        <w:t>责任领导：黄方略、江程</w:t>
      </w:r>
    </w:p>
    <w:p w14:paraId="4A9F4DF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牵头部门：财政局</w:t>
      </w:r>
    </w:p>
    <w:p w14:paraId="5EE2B34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责任（协同）部门：</w:t>
      </w:r>
      <w:r>
        <w:rPr>
          <w:rFonts w:hint="eastAsia" w:ascii="Times New Roman" w:hAnsi="Times New Roman" w:eastAsia="楷体_GB2312" w:cs="Times New Roman"/>
          <w:b/>
          <w:bCs/>
          <w:sz w:val="32"/>
          <w:szCs w:val="32"/>
          <w:lang w:val="en-US" w:eastAsia="zh-CN"/>
        </w:rPr>
        <w:t>开投集团、新潭镇、</w:t>
      </w:r>
      <w:r>
        <w:rPr>
          <w:rFonts w:hint="default" w:ascii="Times New Roman" w:hAnsi="Times New Roman" w:eastAsia="楷体_GB2312" w:cs="Times New Roman"/>
          <w:b/>
          <w:bCs/>
          <w:sz w:val="32"/>
          <w:szCs w:val="32"/>
          <w:lang w:val="en-US" w:eastAsia="zh-CN"/>
        </w:rPr>
        <w:t>风景区税务局</w:t>
      </w:r>
      <w:r>
        <w:rPr>
          <w:rFonts w:hint="eastAsia" w:ascii="Times New Roman" w:hAnsi="Times New Roman" w:eastAsia="楷体_GB2312" w:cs="Times New Roman"/>
          <w:b/>
          <w:bCs/>
          <w:sz w:val="32"/>
          <w:szCs w:val="32"/>
          <w:lang w:val="en-US" w:eastAsia="zh-CN"/>
        </w:rPr>
        <w:t>、发改局、经贸局、住建局、投促局</w:t>
      </w:r>
    </w:p>
    <w:p w14:paraId="14B68DB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“税源培育优质量”攻坚工程行动领导小组办公室设在财政局，凌巍然同志兼任办公室主任</w:t>
      </w:r>
      <w:r>
        <w:rPr>
          <w:rFonts w:hint="eastAsia" w:ascii="Times New Roman" w:hAnsi="Times New Roman" w:eastAsia="仿宋_GB2312" w:cs="Times New Roman"/>
          <w:sz w:val="32"/>
          <w:szCs w:val="32"/>
          <w:lang w:val="en-US" w:eastAsia="zh-CN"/>
        </w:rPr>
        <w:t>，赵静同志兼任办公室副主任</w:t>
      </w:r>
      <w:r>
        <w:rPr>
          <w:rFonts w:hint="default" w:ascii="Times New Roman" w:hAnsi="Times New Roman" w:eastAsia="仿宋_GB2312" w:cs="Times New Roman"/>
          <w:sz w:val="32"/>
          <w:szCs w:val="32"/>
          <w:lang w:val="en-US" w:eastAsia="zh-CN"/>
        </w:rPr>
        <w:t>。</w:t>
      </w:r>
    </w:p>
    <w:p w14:paraId="454AFA19">
      <w:pPr>
        <w:pageBreakBefore w:val="0"/>
        <w:kinsoku/>
        <w:wordWrap/>
        <w:overflowPunct/>
        <w:topLinePunct w:val="0"/>
        <w:autoSpaceDN/>
        <w:bidi w:val="0"/>
        <w:spacing w:line="560" w:lineRule="exact"/>
        <w:textAlignment w:val="auto"/>
        <w:rPr>
          <w:rFonts w:hint="eastAsia"/>
          <w:lang w:val="en-US" w:eastAsia="zh-CN"/>
        </w:rPr>
      </w:pPr>
    </w:p>
    <w:p w14:paraId="7FB67B9F">
      <w:pPr>
        <w:pageBreakBefore w:val="0"/>
        <w:kinsoku/>
        <w:wordWrap/>
        <w:overflowPunct/>
        <w:topLinePunct w:val="0"/>
        <w:autoSpaceDN/>
        <w:bidi w:val="0"/>
        <w:spacing w:line="560" w:lineRule="exact"/>
        <w:textAlignment w:val="auto"/>
        <w:rPr>
          <w:rFonts w:hint="eastAsia"/>
          <w:lang w:val="en-US" w:eastAsia="zh-CN"/>
        </w:rPr>
      </w:pPr>
    </w:p>
    <w:p w14:paraId="1602BF15">
      <w:pPr>
        <w:pageBreakBefore w:val="0"/>
        <w:kinsoku/>
        <w:wordWrap/>
        <w:overflowPunct/>
        <w:topLinePunct w:val="0"/>
        <w:autoSpaceDN/>
        <w:bidi w:val="0"/>
        <w:spacing w:line="560" w:lineRule="exact"/>
        <w:textAlignment w:val="auto"/>
        <w:rPr>
          <w:rFonts w:hint="eastAsia"/>
          <w:lang w:val="en-US" w:eastAsia="zh-CN"/>
        </w:rPr>
      </w:pPr>
    </w:p>
    <w:p w14:paraId="3F9FCB72">
      <w:pPr>
        <w:pageBreakBefore w:val="0"/>
        <w:kinsoku/>
        <w:wordWrap/>
        <w:overflowPunct/>
        <w:topLinePunct w:val="0"/>
        <w:autoSpaceDN/>
        <w:bidi w:val="0"/>
        <w:spacing w:line="560" w:lineRule="exact"/>
        <w:textAlignment w:val="auto"/>
        <w:rPr>
          <w:rFonts w:hint="eastAsia"/>
          <w:lang w:val="en-US" w:eastAsia="zh-CN"/>
        </w:rPr>
      </w:pPr>
    </w:p>
    <w:p w14:paraId="193F78D2">
      <w:pPr>
        <w:pageBreakBefore w:val="0"/>
        <w:kinsoku/>
        <w:wordWrap/>
        <w:overflowPunct/>
        <w:topLinePunct w:val="0"/>
        <w:autoSpaceDN/>
        <w:bidi w:val="0"/>
        <w:spacing w:line="560" w:lineRule="exact"/>
        <w:textAlignment w:val="auto"/>
        <w:rPr>
          <w:rFonts w:hint="eastAsia"/>
          <w:lang w:val="en-US" w:eastAsia="zh-CN"/>
        </w:rPr>
      </w:pPr>
    </w:p>
    <w:p w14:paraId="3BA1A23C">
      <w:pPr>
        <w:pageBreakBefore w:val="0"/>
        <w:kinsoku/>
        <w:wordWrap/>
        <w:overflowPunct/>
        <w:topLinePunct w:val="0"/>
        <w:autoSpaceDN/>
        <w:bidi w:val="0"/>
        <w:spacing w:line="560" w:lineRule="exact"/>
        <w:textAlignment w:val="auto"/>
        <w:rPr>
          <w:rFonts w:hint="eastAsia"/>
          <w:lang w:val="en-US" w:eastAsia="zh-CN"/>
        </w:rPr>
      </w:pPr>
    </w:p>
    <w:p w14:paraId="1DFB5816">
      <w:pPr>
        <w:pageBreakBefore w:val="0"/>
        <w:kinsoku/>
        <w:wordWrap/>
        <w:overflowPunct/>
        <w:topLinePunct w:val="0"/>
        <w:autoSpaceDN/>
        <w:bidi w:val="0"/>
        <w:spacing w:line="560" w:lineRule="exact"/>
        <w:textAlignment w:val="auto"/>
        <w:rPr>
          <w:rFonts w:hint="eastAsia"/>
          <w:lang w:val="en-US" w:eastAsia="zh-CN"/>
        </w:rPr>
      </w:pPr>
    </w:p>
    <w:p w14:paraId="1414651F">
      <w:pPr>
        <w:pageBreakBefore w:val="0"/>
        <w:kinsoku/>
        <w:wordWrap/>
        <w:overflowPunct/>
        <w:topLinePunct w:val="0"/>
        <w:autoSpaceDN/>
        <w:bidi w:val="0"/>
        <w:spacing w:line="560" w:lineRule="exact"/>
        <w:textAlignment w:val="auto"/>
        <w:rPr>
          <w:rFonts w:hint="eastAsia"/>
          <w:lang w:val="en-US" w:eastAsia="zh-CN"/>
        </w:rPr>
      </w:pPr>
    </w:p>
    <w:p w14:paraId="3C8EC352">
      <w:pPr>
        <w:pStyle w:val="3"/>
        <w:pageBreakBefore w:val="0"/>
        <w:kinsoku/>
        <w:wordWrap/>
        <w:overflowPunct/>
        <w:topLinePunct w:val="0"/>
        <w:autoSpaceDN/>
        <w:bidi w:val="0"/>
        <w:spacing w:before="0" w:after="0" w:line="560" w:lineRule="exact"/>
        <w:textAlignment w:val="auto"/>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附件6</w:t>
      </w:r>
    </w:p>
    <w:p w14:paraId="3B921D1F">
      <w:pPr>
        <w:rPr>
          <w:rFonts w:hint="eastAsia"/>
          <w:lang w:val="en-US" w:eastAsia="zh-CN"/>
        </w:rPr>
      </w:pPr>
    </w:p>
    <w:p w14:paraId="7ABE557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pacing w:val="-11"/>
          <w:kern w:val="2"/>
          <w:sz w:val="44"/>
          <w:szCs w:val="44"/>
          <w:lang w:val="en-US" w:eastAsia="zh-CN" w:bidi="ar-SA"/>
        </w:rPr>
      </w:pPr>
      <w:r>
        <w:rPr>
          <w:rFonts w:hint="default" w:ascii="Times New Roman" w:hAnsi="Times New Roman" w:eastAsia="方正小标宋_GBK" w:cs="Times New Roman"/>
          <w:spacing w:val="-11"/>
          <w:kern w:val="2"/>
          <w:sz w:val="44"/>
          <w:szCs w:val="44"/>
          <w:lang w:val="en-US" w:eastAsia="zh-CN" w:bidi="ar-SA"/>
        </w:rPr>
        <w:t>黄山高新区“平安园区筑底板”</w:t>
      </w:r>
      <w:r>
        <w:rPr>
          <w:rFonts w:hint="eastAsia" w:ascii="Times New Roman" w:hAnsi="Times New Roman" w:eastAsia="方正小标宋_GBK" w:cs="Times New Roman"/>
          <w:spacing w:val="-11"/>
          <w:sz w:val="44"/>
          <w:szCs w:val="44"/>
          <w:lang w:val="en-US" w:eastAsia="zh-CN"/>
        </w:rPr>
        <w:t>攻坚工程</w:t>
      </w:r>
      <w:r>
        <w:rPr>
          <w:rFonts w:hint="default" w:ascii="Times New Roman" w:hAnsi="Times New Roman" w:eastAsia="方正小标宋_GBK" w:cs="Times New Roman"/>
          <w:spacing w:val="-11"/>
          <w:kern w:val="2"/>
          <w:sz w:val="44"/>
          <w:szCs w:val="44"/>
          <w:lang w:val="en-US" w:eastAsia="zh-CN" w:bidi="ar-SA"/>
        </w:rPr>
        <w:t>行动方案</w:t>
      </w:r>
    </w:p>
    <w:p w14:paraId="346654E7">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default" w:ascii="Times New Roman" w:hAnsi="Times New Roman" w:eastAsia="方正仿宋_GBK" w:cs="Times New Roman"/>
          <w:sz w:val="30"/>
          <w:szCs w:val="30"/>
          <w:lang w:val="en-US" w:eastAsia="zh-CN"/>
        </w:rPr>
      </w:pPr>
    </w:p>
    <w:p w14:paraId="58F1300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一、工作目标</w:t>
      </w:r>
    </w:p>
    <w:p w14:paraId="45B24FC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深入贯彻落实习近平总书记关于平安中国建设的重要思想和上级关于平安建设的工作部署，以“比发展、讲奉献、重实干”为主题推进作风建设，加强高新区平安园区建设的系统谋划，不断完善相关制度措施，持续优化平安园区建设，治安环境明显改善，安全事故起数和亡人数保持较低水平，群众满意度不断提升，为高新区高质量转型发展提供坚强保障。</w:t>
      </w:r>
    </w:p>
    <w:p w14:paraId="57C4706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二、重点任务</w:t>
      </w:r>
    </w:p>
    <w:p w14:paraId="02A27D0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华文楷体" w:cs="Times New Roman"/>
          <w:b/>
          <w:bCs/>
          <w:sz w:val="32"/>
          <w:szCs w:val="32"/>
          <w:lang w:val="en-US" w:eastAsia="zh-CN"/>
        </w:rPr>
      </w:pPr>
      <w:r>
        <w:rPr>
          <w:rFonts w:hint="default" w:ascii="Times New Roman" w:hAnsi="Times New Roman" w:eastAsia="华文楷体" w:cs="Times New Roman"/>
          <w:b/>
          <w:bCs/>
          <w:sz w:val="32"/>
          <w:szCs w:val="32"/>
          <w:lang w:val="en-US" w:eastAsia="zh-CN"/>
        </w:rPr>
        <w:t>（一）深入推进矛盾纠纷排查调处</w:t>
      </w:r>
    </w:p>
    <w:p w14:paraId="45496B8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1、严格落实属地和行业监管责任，对各类突出矛盾纠纷持续开展全方位排查，做到底数清、情况明，积极推动矛盾纠纷的分类化解。（新潭镇，管委会各部门、各派驻单位）</w:t>
      </w:r>
    </w:p>
    <w:p w14:paraId="4BF9B85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2、定期分析研判社会风险形势，强化重点领域风险监测预警，加强重要敏感节点维稳安保。（社会事务局、党群部、新潭镇、公安分局）</w:t>
      </w:r>
    </w:p>
    <w:p w14:paraId="630D35D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3、深化社会稳定风险评估，积极稳妥处置对严重影响社会稳定的案事件。（新潭镇，管委会各部门、各派驻单位）</w:t>
      </w:r>
    </w:p>
    <w:p w14:paraId="0BAE983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华文楷体" w:cs="Times New Roman"/>
          <w:b/>
          <w:bCs/>
          <w:sz w:val="32"/>
          <w:szCs w:val="32"/>
          <w:lang w:val="en-US" w:eastAsia="zh-CN"/>
        </w:rPr>
      </w:pPr>
      <w:r>
        <w:rPr>
          <w:rFonts w:hint="default" w:ascii="Times New Roman" w:hAnsi="Times New Roman" w:eastAsia="华文楷体" w:cs="Times New Roman"/>
          <w:b/>
          <w:bCs/>
          <w:sz w:val="32"/>
          <w:szCs w:val="32"/>
          <w:lang w:val="en-US" w:eastAsia="zh-CN"/>
        </w:rPr>
        <w:t>（二）切实加强社会治安综合治理</w:t>
      </w:r>
    </w:p>
    <w:p w14:paraId="32B7A3F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1、加强社会治安整体防控体系建设，统筹协调校园、医院、商超及周边治安综合治理工作。（公安分局、新潭镇、党群部、市场局、社会事务局）</w:t>
      </w:r>
    </w:p>
    <w:p w14:paraId="5C0B8EE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2、推进重点场所、重点企业、重点物品、涉险公共区域安全防护等安全管理工作，清查人员复杂场所，设置安全提示标识，加强群防群治力量。（安环局、消防办、新潭镇及管委会各部门）</w:t>
      </w:r>
    </w:p>
    <w:p w14:paraId="6B2411D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华文楷体" w:cs="Times New Roman"/>
          <w:b/>
          <w:bCs/>
          <w:sz w:val="32"/>
          <w:szCs w:val="32"/>
          <w:lang w:val="en-US" w:eastAsia="zh-CN"/>
        </w:rPr>
      </w:pPr>
      <w:r>
        <w:rPr>
          <w:rFonts w:hint="default" w:ascii="Times New Roman" w:hAnsi="Times New Roman" w:eastAsia="华文楷体" w:cs="Times New Roman"/>
          <w:b/>
          <w:bCs/>
          <w:sz w:val="32"/>
          <w:szCs w:val="32"/>
          <w:lang w:val="en-US" w:eastAsia="zh-CN"/>
        </w:rPr>
        <w:t>（三）强化重点人员管理稳控</w:t>
      </w:r>
    </w:p>
    <w:p w14:paraId="115D19D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1、推进反邪教领域防控打击、教育转化、警示宣传等工作，完善涉邪教人员应急处置预案。（新潭镇、公安分局、社会事务局）</w:t>
      </w:r>
    </w:p>
    <w:p w14:paraId="5018180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2、推进安置帮教工作，有效预防和减少重新违法犯罪；完善安置帮教对象就业服务、救助帮扶政策；扬言类和“三失一偏”人员纠纷调解和长效关怀，做好相关工作。（新潭镇、公安分局）</w:t>
      </w:r>
    </w:p>
    <w:p w14:paraId="53861EA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3、推进落实严重精神障碍患者管理救助工作，完善机制措施，做好相关工作。（新潭卫生院、公安分局）</w:t>
      </w:r>
    </w:p>
    <w:p w14:paraId="2506B1B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4、推动信访工作法治化，准确掌握信访案件底数和现状，适时对信访办理情况进行调度，分析问题，推动疑难信访事项实体化解决。（信访办、新潭镇、管委会各部门、各派驻单位）</w:t>
      </w:r>
    </w:p>
    <w:p w14:paraId="0BBF08A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华文楷体" w:cs="Times New Roman"/>
          <w:b/>
          <w:bCs/>
          <w:sz w:val="32"/>
          <w:szCs w:val="32"/>
          <w:lang w:val="en-US" w:eastAsia="zh-CN"/>
        </w:rPr>
      </w:pPr>
      <w:r>
        <w:rPr>
          <w:rFonts w:hint="default" w:ascii="Times New Roman" w:hAnsi="Times New Roman" w:eastAsia="华文楷体" w:cs="Times New Roman"/>
          <w:b/>
          <w:bCs/>
          <w:sz w:val="32"/>
          <w:szCs w:val="32"/>
          <w:lang w:val="en-US" w:eastAsia="zh-CN"/>
        </w:rPr>
        <w:t>（四）持续筑牢发展安全屏障</w:t>
      </w:r>
    </w:p>
    <w:p w14:paraId="64CC603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1、安全生产三级标准化企业创建不少于3家，总数不少于38家；新建工业企业项目安全生产“三同时”完成率达到100%。（安环局、经贸局、资规分局）</w:t>
      </w:r>
    </w:p>
    <w:p w14:paraId="7A0C038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2、园区企业废气排放稳定达标。按时按质完成中央和省环保督察信访件和反馈问题整改。（安环局、经贸局、住建局、城管执法中队、新潭镇）</w:t>
      </w:r>
    </w:p>
    <w:p w14:paraId="5C73D18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3、油烟、噪声、异味等群众身边的环境问题投诉量持续下降。（区环委会各成员单位）</w:t>
      </w:r>
    </w:p>
    <w:p w14:paraId="33D9FDC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三、保障措施</w:t>
      </w:r>
    </w:p>
    <w:p w14:paraId="168A929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1、每月定期召开平安园区建设工作专题会议，研究解决工作中存在的问题和困难。</w:t>
      </w:r>
    </w:p>
    <w:p w14:paraId="74D140F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2、完善区政法综治工作人员力量，加强培训，提升平安园区工作队伍整体工作能力。</w:t>
      </w:r>
    </w:p>
    <w:p w14:paraId="2CA7A27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3、建立相关工作协调机制，落实平安园区建设工作责任，统筹协调和督办落实相关工作。</w:t>
      </w:r>
    </w:p>
    <w:p w14:paraId="075D67A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4、新潭镇和各部门每季度总结报送本领域平安建设工作开展情况。工作中的重大问题和重要情况，及时报送提请协调研究解决。</w:t>
      </w:r>
    </w:p>
    <w:p w14:paraId="641F5F2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四、组织领导</w:t>
      </w:r>
    </w:p>
    <w:p w14:paraId="287A28F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牵头领导：詹有成</w:t>
      </w:r>
    </w:p>
    <w:p w14:paraId="34A3BE2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责任领导：汪卫东、罗贤胜</w:t>
      </w:r>
    </w:p>
    <w:p w14:paraId="7318AFB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牵头部门：社会事务局</w:t>
      </w:r>
    </w:p>
    <w:p w14:paraId="00D4F39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责任（协同）部门：</w:t>
      </w:r>
      <w:r>
        <w:rPr>
          <w:rFonts w:hint="eastAsia" w:ascii="Times New Roman" w:hAnsi="Times New Roman" w:eastAsia="楷体_GB2312" w:cs="Times New Roman"/>
          <w:b/>
          <w:bCs/>
          <w:sz w:val="32"/>
          <w:szCs w:val="32"/>
          <w:lang w:val="en-US" w:eastAsia="zh-CN"/>
        </w:rPr>
        <w:t>开投集团、新潭镇、</w:t>
      </w:r>
      <w:r>
        <w:rPr>
          <w:rFonts w:hint="default" w:ascii="Times New Roman" w:hAnsi="Times New Roman" w:eastAsia="楷体_GB2312" w:cs="Times New Roman"/>
          <w:b/>
          <w:bCs/>
          <w:sz w:val="32"/>
          <w:szCs w:val="32"/>
          <w:lang w:val="en-US" w:eastAsia="zh-CN"/>
        </w:rPr>
        <w:t>安环局、新潭镇，公安分局，管委会各部门、各派驻单位</w:t>
      </w:r>
    </w:p>
    <w:p w14:paraId="2EA39E6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“平安园区筑底板攻坚”</w:t>
      </w:r>
      <w:r>
        <w:rPr>
          <w:rFonts w:hint="default" w:ascii="Times New Roman" w:hAnsi="Times New Roman" w:eastAsia="仿宋_GB2312" w:cs="Times New Roman"/>
          <w:sz w:val="32"/>
          <w:szCs w:val="32"/>
          <w:lang w:val="en-US" w:eastAsia="zh-CN"/>
        </w:rPr>
        <w:t>攻坚工程行动领导小组</w:t>
      </w:r>
      <w:r>
        <w:rPr>
          <w:rFonts w:hint="default" w:ascii="Times New Roman" w:hAnsi="Times New Roman" w:eastAsia="仿宋_GB2312" w:cs="Times New Roman"/>
          <w:b w:val="0"/>
          <w:bCs/>
          <w:sz w:val="32"/>
          <w:szCs w:val="32"/>
          <w:lang w:val="en-US" w:eastAsia="zh-CN"/>
        </w:rPr>
        <w:t>办公室设在社会事务局</w:t>
      </w:r>
      <w:r>
        <w:rPr>
          <w:rFonts w:hint="eastAsia" w:ascii="Times New Roman" w:hAnsi="Times New Roman" w:eastAsia="仿宋_GB2312" w:cs="Times New Roman"/>
          <w:b w:val="0"/>
          <w:bCs/>
          <w:sz w:val="32"/>
          <w:szCs w:val="32"/>
          <w:lang w:val="en-US" w:eastAsia="zh-CN"/>
        </w:rPr>
        <w:t>（农业农村局）与</w:t>
      </w:r>
      <w:r>
        <w:rPr>
          <w:rFonts w:hint="default" w:ascii="Times New Roman" w:hAnsi="Times New Roman" w:eastAsia="仿宋_GB2312" w:cs="Times New Roman"/>
          <w:b w:val="0"/>
          <w:bCs/>
          <w:sz w:val="32"/>
          <w:szCs w:val="32"/>
          <w:lang w:val="en-US" w:eastAsia="zh-CN"/>
        </w:rPr>
        <w:t>新潭镇，詹有成同志兼任办公室主任，徐志华</w:t>
      </w:r>
      <w:r>
        <w:rPr>
          <w:rFonts w:hint="eastAsia" w:ascii="Times New Roman" w:hAnsi="Times New Roman" w:eastAsia="仿宋_GB2312" w:cs="Times New Roman"/>
          <w:b w:val="0"/>
          <w:bCs/>
          <w:sz w:val="32"/>
          <w:szCs w:val="32"/>
          <w:lang w:val="en-US" w:eastAsia="zh-CN"/>
        </w:rPr>
        <w:t>、</w:t>
      </w:r>
      <w:r>
        <w:rPr>
          <w:rFonts w:hint="default" w:ascii="Times New Roman" w:hAnsi="Times New Roman" w:eastAsia="仿宋_GB2312" w:cs="Times New Roman"/>
          <w:b w:val="0"/>
          <w:bCs/>
          <w:sz w:val="32"/>
          <w:szCs w:val="32"/>
          <w:lang w:val="en-US" w:eastAsia="zh-CN"/>
        </w:rPr>
        <w:t>何宁同志兼任办公室副主任。</w:t>
      </w:r>
    </w:p>
    <w:p w14:paraId="60C297F7">
      <w:pPr>
        <w:pageBreakBefore w:val="0"/>
        <w:kinsoku/>
        <w:wordWrap/>
        <w:overflowPunct/>
        <w:topLinePunct w:val="0"/>
        <w:autoSpaceDN/>
        <w:bidi w:val="0"/>
        <w:spacing w:line="560" w:lineRule="exact"/>
        <w:textAlignment w:val="auto"/>
        <w:rPr>
          <w:rFonts w:hint="eastAsia"/>
          <w:lang w:val="en-US" w:eastAsia="zh-CN"/>
        </w:rPr>
      </w:pPr>
    </w:p>
    <w:p w14:paraId="565ACF2A">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Cs/>
          <w:kern w:val="2"/>
          <w:sz w:val="32"/>
          <w:szCs w:val="32"/>
          <w:lang w:val="en-US" w:eastAsia="zh-CN" w:bidi="ar-SA"/>
        </w:rPr>
      </w:pPr>
      <w:r>
        <w:rPr>
          <w:rFonts w:hint="eastAsia" w:ascii="仿宋_GB2312" w:hAnsi="仿宋_GB2312" w:eastAsia="仿宋_GB2312" w:cs="仿宋_GB2312"/>
          <w:bCs/>
          <w:kern w:val="2"/>
          <w:sz w:val="32"/>
          <w:szCs w:val="32"/>
          <w:lang w:val="en-US" w:eastAsia="zh-CN" w:bidi="ar-SA"/>
        </w:rPr>
        <w:t>附件7</w:t>
      </w:r>
    </w:p>
    <w:p w14:paraId="5660A7C6">
      <w:pPr>
        <w:pStyle w:val="2"/>
        <w:pageBreakBefore w:val="0"/>
        <w:widowControl w:val="0"/>
        <w:kinsoku/>
        <w:wordWrap/>
        <w:overflowPunct/>
        <w:topLinePunct w:val="0"/>
        <w:autoSpaceDE/>
        <w:autoSpaceDN/>
        <w:bidi w:val="0"/>
        <w:spacing w:beforeLines="0" w:afterLines="0" w:line="560" w:lineRule="exact"/>
        <w:jc w:val="center"/>
        <w:textAlignment w:val="auto"/>
        <w:rPr>
          <w:rFonts w:hint="eastAsia" w:ascii="Times New Roman" w:hAnsi="Times New Roman" w:eastAsia="方正小标宋_GBK" w:cs="方正小标宋_GBK"/>
          <w:spacing w:val="-17"/>
          <w:kern w:val="2"/>
          <w:sz w:val="44"/>
          <w:szCs w:val="44"/>
          <w:lang w:val="en-US" w:eastAsia="zh-CN" w:bidi="ar-SA"/>
        </w:rPr>
      </w:pPr>
    </w:p>
    <w:p w14:paraId="304DCBA3">
      <w:pPr>
        <w:pStyle w:val="2"/>
        <w:pageBreakBefore w:val="0"/>
        <w:widowControl w:val="0"/>
        <w:kinsoku/>
        <w:wordWrap/>
        <w:overflowPunct/>
        <w:topLinePunct w:val="0"/>
        <w:autoSpaceDE/>
        <w:autoSpaceDN/>
        <w:bidi w:val="0"/>
        <w:spacing w:beforeLines="0" w:afterLines="0" w:line="560" w:lineRule="exact"/>
        <w:jc w:val="center"/>
        <w:textAlignment w:val="auto"/>
        <w:rPr>
          <w:rFonts w:hint="eastAsia" w:ascii="Times New Roman" w:hAnsi="Times New Roman" w:eastAsia="方正小标宋_GBK" w:cs="方正小标宋_GBK"/>
          <w:spacing w:val="-17"/>
          <w:kern w:val="2"/>
          <w:sz w:val="44"/>
          <w:szCs w:val="44"/>
          <w:lang w:val="en-US" w:eastAsia="zh-CN" w:bidi="ar-SA"/>
        </w:rPr>
      </w:pPr>
      <w:r>
        <w:rPr>
          <w:rFonts w:hint="eastAsia" w:ascii="Times New Roman" w:hAnsi="Times New Roman" w:eastAsia="方正小标宋_GBK" w:cs="方正小标宋_GBK"/>
          <w:spacing w:val="-17"/>
          <w:kern w:val="2"/>
          <w:sz w:val="44"/>
          <w:szCs w:val="44"/>
          <w:lang w:val="en-US" w:eastAsia="zh-CN" w:bidi="ar-SA"/>
        </w:rPr>
        <w:t>黄山高新区“党的建设聚发展”</w:t>
      </w:r>
      <w:r>
        <w:rPr>
          <w:rFonts w:hint="eastAsia" w:ascii="Times New Roman" w:hAnsi="Times New Roman" w:eastAsia="方正小标宋_GBK" w:cs="Times New Roman"/>
          <w:spacing w:val="-17"/>
          <w:sz w:val="44"/>
          <w:szCs w:val="44"/>
          <w:lang w:val="en-US" w:eastAsia="zh-CN"/>
        </w:rPr>
        <w:t>攻坚工程</w:t>
      </w:r>
      <w:r>
        <w:rPr>
          <w:rFonts w:hint="eastAsia" w:ascii="Times New Roman" w:hAnsi="Times New Roman" w:eastAsia="方正小标宋_GBK" w:cs="方正小标宋_GBK"/>
          <w:spacing w:val="-17"/>
          <w:kern w:val="2"/>
          <w:sz w:val="44"/>
          <w:szCs w:val="44"/>
          <w:lang w:val="en-US" w:eastAsia="zh-CN" w:bidi="ar-SA"/>
        </w:rPr>
        <w:t>行动方案</w:t>
      </w:r>
    </w:p>
    <w:p w14:paraId="7BA85E5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cs="仿宋"/>
          <w:sz w:val="32"/>
          <w:szCs w:val="32"/>
          <w:lang w:val="en-US" w:eastAsia="zh-CN"/>
        </w:rPr>
      </w:pPr>
    </w:p>
    <w:p w14:paraId="630938D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方正仿宋_GBK" w:cs="Times New Roman"/>
          <w:sz w:val="30"/>
          <w:szCs w:val="30"/>
          <w:lang w:val="en-US" w:eastAsia="zh-CN"/>
        </w:rPr>
      </w:pPr>
      <w:r>
        <w:rPr>
          <w:rFonts w:hint="eastAsia" w:ascii="仿宋_GB2312" w:hAnsi="仿宋_GB2312" w:eastAsia="仿宋_GB2312" w:cs="仿宋_GB2312"/>
          <w:sz w:val="32"/>
          <w:szCs w:val="32"/>
          <w:lang w:val="en-US" w:eastAsia="zh-CN"/>
        </w:rPr>
        <w:t>围绕“创新高地、产业兴城”发展定位，以“比发展、讲奉献、重实干”为主题推进作风建设，开展实施“1117”工程，聚焦“主要经济指标走在全市前列实现新作为、重大项目加快推进取得新突破、产业招商集聚开创新局面”</w:t>
      </w:r>
      <w:r>
        <w:rPr>
          <w:rFonts w:hint="eastAsia" w:ascii="仿宋" w:hAnsi="仿宋" w:eastAsia="仿宋" w:cs="仿宋"/>
          <w:sz w:val="32"/>
          <w:szCs w:val="32"/>
          <w:lang w:val="en-US" w:eastAsia="zh-CN"/>
        </w:rPr>
        <w:t>。</w:t>
      </w:r>
    </w:p>
    <w:p w14:paraId="608D910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一、工作目标</w:t>
      </w:r>
    </w:p>
    <w:p w14:paraId="69A2BA8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 w:eastAsia="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 w:eastAsia="仿宋_GB2312"/>
          <w:sz w:val="32"/>
          <w:szCs w:val="32"/>
          <w:lang w:val="en-US" w:eastAsia="zh-CN"/>
        </w:rPr>
        <w:t>开展干部素质提升行动，依托多层次、多形式专题培训，提升干部政治理论素养和干事创业能力</w:t>
      </w:r>
      <w:r>
        <w:rPr>
          <w:rFonts w:hint="eastAsia" w:ascii="仿宋_GB2312" w:hAnsi="仿宋" w:eastAsia="仿宋_GB2312"/>
          <w:sz w:val="32"/>
          <w:szCs w:val="32"/>
          <w:lang w:eastAsia="zh-CN"/>
        </w:rPr>
        <w:t>。</w:t>
      </w:r>
    </w:p>
    <w:p w14:paraId="72DA876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2、</w:t>
      </w:r>
      <w:r>
        <w:rPr>
          <w:rFonts w:hint="eastAsia" w:ascii="仿宋_GB2312" w:eastAsia="仿宋_GB2312" w:hAnsiTheme="minorHAnsi" w:cstheme="minorBidi"/>
          <w:b w:val="0"/>
          <w:bCs/>
          <w:sz w:val="32"/>
          <w:szCs w:val="32"/>
          <w:lang w:val="en-US" w:eastAsia="zh-CN"/>
        </w:rPr>
        <w:t>持续优化法治营商环境，为企业提供公司注册、行政审批、代办代跑等“一站式办结”服务，营造良好营商环境</w:t>
      </w:r>
      <w:r>
        <w:rPr>
          <w:rFonts w:hint="eastAsia" w:ascii="仿宋_GB2312" w:hAnsi="仿宋" w:eastAsia="仿宋_GB2312"/>
          <w:sz w:val="32"/>
          <w:szCs w:val="32"/>
          <w:lang w:val="en-US" w:eastAsia="zh-CN"/>
        </w:rPr>
        <w:t>。</w:t>
      </w:r>
    </w:p>
    <w:p w14:paraId="3721946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 w:eastAsia="仿宋_GB2312"/>
          <w:sz w:val="32"/>
          <w:szCs w:val="32"/>
          <w:lang w:val="en-US" w:eastAsia="zh-CN"/>
        </w:rPr>
      </w:pPr>
      <w:r>
        <w:rPr>
          <w:rFonts w:hint="eastAsia" w:ascii="仿宋_GB2312" w:hAnsi="仿宋" w:eastAsia="仿宋_GB2312"/>
          <w:sz w:val="32"/>
          <w:szCs w:val="32"/>
          <w:lang w:val="en-US" w:eastAsia="zh-CN"/>
        </w:rPr>
        <w:t>3、推动人事薪酬制度改革方案落地，推进“管委会+公司”管理体制优化</w:t>
      </w:r>
      <w:r>
        <w:rPr>
          <w:rFonts w:hint="eastAsia" w:ascii="仿宋_GB2312" w:eastAsia="仿宋_GB2312" w:hAnsiTheme="minorHAnsi" w:cstheme="minorBidi"/>
          <w:b w:val="0"/>
          <w:bCs/>
          <w:sz w:val="32"/>
          <w:szCs w:val="32"/>
          <w:lang w:val="en-US" w:eastAsia="zh-CN"/>
        </w:rPr>
        <w:t>。</w:t>
      </w:r>
    </w:p>
    <w:p w14:paraId="0D08A20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二、重点任务</w:t>
      </w:r>
    </w:p>
    <w:p w14:paraId="5350D23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楷体" w:hAnsi="楷体" w:eastAsia="楷体" w:cs="楷体"/>
          <w:b/>
          <w:bCs/>
          <w:sz w:val="32"/>
          <w:szCs w:val="32"/>
          <w:lang w:val="en-US" w:eastAsia="zh-CN"/>
        </w:rPr>
        <w:t>（一）党建助力企业提振升级</w:t>
      </w:r>
    </w:p>
    <w:p w14:paraId="6DB5D0D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hAnsiTheme="minorHAnsi" w:cstheme="minorBidi"/>
          <w:b w:val="0"/>
          <w:bCs/>
          <w:sz w:val="32"/>
          <w:szCs w:val="32"/>
          <w:lang w:val="en-US" w:eastAsia="zh-CN"/>
        </w:rPr>
      </w:pPr>
      <w:r>
        <w:rPr>
          <w:rFonts w:hint="eastAsia" w:ascii="仿宋_GB2312" w:hAnsi="仿宋_GB2312" w:eastAsia="仿宋_GB2312" w:cs="仿宋_GB2312"/>
          <w:sz w:val="32"/>
          <w:szCs w:val="32"/>
          <w:lang w:val="en-US" w:eastAsia="zh-CN"/>
        </w:rPr>
        <w:t>以争创省、市“双强六好”非公企业党组织为抓手，不断深化提炼非公企业党建工作法，持续打造企业党建工作品牌。发挥产业链综合党委“组织桥梁”作用，组织开展链内要素对接活动，职能部门现场办理企业诉求。不断丰富拓展园区“红色领航—同‘新’荟园”非公党建工作品牌的内涵和外延，实现强党建、优服务、促发展。以党建共建促产业联建，在与上海嘉定工业区党建共建基础上，开展互访交流、党建论坛等活动，推动双方园区龙头企业交流合作，积极争取长三角产业项目承接转移。</w:t>
      </w:r>
    </w:p>
    <w:p w14:paraId="36C6C111">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（二）党建助力乡村振兴</w:t>
      </w:r>
    </w:p>
    <w:p w14:paraId="4C44F58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积极开展干部素质提升行动，不断增强干部政治理论素养和干事创业能力。深化“党建+”模式，推动党建与乡村振兴、基层治理等重点工作深度融合。完成新潭镇2025年区级巩固拓展脱贫攻坚成果和乡村振兴项目库调整工作，持续积极推动产业升级、项目建设。继续做好农村土地经营、资源整合发展等工作。改造提升蕉充商业街，发展夜间经济，打造特色商业街区，激发消费市场活力。全力支持推动“艺术长源”、长托特色名宿集群、仙和牛文化农副产品展示推广中心、东关酱油文化馆及陶艺中心等项目打造，擦亮本土文化名片。</w:t>
      </w:r>
    </w:p>
    <w:p w14:paraId="0B76B71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（三）党建助力人才集聚</w:t>
      </w:r>
    </w:p>
    <w:p w14:paraId="390C073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高标准开展迎客松英才计划、科技副总、“市特支”等工作，全方位增进人才与企业之间的深度融合与协作。举办人才招聘会，搭建企业与求职者之间精准对接桥梁，为企业的稳定发展和人力资源的合理配置提供有力支持。积极推动企业与本地职业院校、高校建立深度合作关系。精心为企业量身定制人才培养方案，真正实现招生与招工同步、教学与生产同步、实习与就业一体化。开展市外大中专毕业生招引工作，吸引市外大中专毕业生投身本地发展，增强区域发展的人才支撑力。</w:t>
      </w:r>
    </w:p>
    <w:p w14:paraId="0DB580A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（四）党建助力营商环境</w:t>
      </w:r>
    </w:p>
    <w:p w14:paraId="387DE4C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结合“四上”企业和重大项目，统筹选派新一轮驻企（项目）服务专员，进一步加强政企联系，实现企业诉求办结率达100%。结合经济运行分析、退税减税、安全生产等工作，定期走访企业宣贯惠企政策，打通政策落地“最后一公里”。持续为企业提供公司注册、行政审批、代办代跑等“一站式办结”服务，畅通工作链条，强化综合协调，实施项目闭环管理，促进项目早开工、早投产、早达效，营造良好的营商环境。</w:t>
      </w:r>
    </w:p>
    <w:p w14:paraId="28557B2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（五）党建助力改革攻坚</w:t>
      </w:r>
    </w:p>
    <w:p w14:paraId="7262A55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推进人事薪酬制度改革方案落地，协助推进“管委会+公司”管理体制优化。充分认识深化开发区体制机制改革的重要意义，严格落实市委、市政府的决策部署，进一步聚集主责主业，解放思想、锐意进取、勇于担当、真抓实干，确保开发区体制机制改革任务顺利完成。</w:t>
      </w:r>
    </w:p>
    <w:p w14:paraId="34B2783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三、保障措施</w:t>
      </w:r>
    </w:p>
    <w:p w14:paraId="0524C61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hAnsiTheme="minorHAnsi" w:cstheme="minorBidi"/>
          <w:b w:val="0"/>
          <w:bCs/>
          <w:sz w:val="32"/>
          <w:szCs w:val="32"/>
          <w:lang w:val="en-US" w:eastAsia="zh-CN"/>
        </w:rPr>
      </w:pPr>
      <w:r>
        <w:rPr>
          <w:rFonts w:hint="eastAsia" w:ascii="仿宋_GB2312" w:eastAsia="仿宋_GB2312" w:hAnsiTheme="minorHAnsi" w:cstheme="minorBidi"/>
          <w:b w:val="0"/>
          <w:bCs/>
          <w:sz w:val="32"/>
          <w:szCs w:val="32"/>
          <w:lang w:val="en-US" w:eastAsia="zh-CN"/>
        </w:rPr>
        <w:t>坚持“月调度、季小结、半年回头看”，深入基层、靠前指挥，对工作推进过程中发现的问题及时专题协调。各责任部门要切实发挥职能，主动担当作为，动态汇总掌握和分析研判推进情况，及时落实各项工作任务。</w:t>
      </w:r>
    </w:p>
    <w:p w14:paraId="1FF15E1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四、组织领导</w:t>
      </w:r>
    </w:p>
    <w:p w14:paraId="10FD3D2C">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牵头领导：朱永进</w:t>
      </w:r>
    </w:p>
    <w:p w14:paraId="64F38B2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责任领导：凌沧桑、方琍、黄方略、汪卫东</w:t>
      </w:r>
    </w:p>
    <w:p w14:paraId="50CFDCF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牵头部门：党群部</w:t>
      </w:r>
    </w:p>
    <w:p w14:paraId="5C05C8A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责任（协同）部门：开投集团、新潭镇、办公室、经贸局、社会事务局、纪检监察室</w:t>
      </w:r>
    </w:p>
    <w:p w14:paraId="7ED3BB1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eastAsia="仿宋_GB2312" w:hAnsiTheme="minorHAnsi" w:cstheme="minorBidi"/>
          <w:b w:val="0"/>
          <w:bCs/>
          <w:sz w:val="32"/>
          <w:szCs w:val="32"/>
          <w:lang w:val="en-US" w:eastAsia="zh-CN"/>
        </w:rPr>
      </w:pPr>
      <w:r>
        <w:rPr>
          <w:rFonts w:hint="eastAsia" w:ascii="仿宋_GB2312" w:eastAsia="仿宋_GB2312" w:hAnsiTheme="minorHAnsi" w:cstheme="minorBidi"/>
          <w:b w:val="0"/>
          <w:bCs/>
          <w:sz w:val="32"/>
          <w:szCs w:val="32"/>
          <w:lang w:val="en-US" w:eastAsia="zh-CN"/>
        </w:rPr>
        <w:t>“党的建设聚发展”</w:t>
      </w:r>
      <w:r>
        <w:rPr>
          <w:rFonts w:hint="default" w:ascii="Times New Roman" w:hAnsi="Times New Roman" w:eastAsia="仿宋_GB2312" w:cs="Times New Roman"/>
          <w:sz w:val="32"/>
          <w:szCs w:val="32"/>
          <w:lang w:val="en-US" w:eastAsia="zh-CN"/>
        </w:rPr>
        <w:t>攻坚工程行动领导小组</w:t>
      </w:r>
      <w:r>
        <w:rPr>
          <w:rFonts w:hint="default" w:ascii="仿宋_GB2312" w:eastAsia="仿宋_GB2312" w:hAnsiTheme="minorHAnsi" w:cstheme="minorBidi"/>
          <w:b w:val="0"/>
          <w:bCs/>
          <w:sz w:val="32"/>
          <w:szCs w:val="32"/>
          <w:lang w:val="en-US" w:eastAsia="zh-CN"/>
        </w:rPr>
        <w:t>办公室设在</w:t>
      </w:r>
      <w:r>
        <w:rPr>
          <w:rFonts w:hint="eastAsia" w:ascii="仿宋_GB2312" w:eastAsia="仿宋_GB2312" w:cstheme="minorBidi"/>
          <w:b w:val="0"/>
          <w:bCs/>
          <w:sz w:val="32"/>
          <w:szCs w:val="32"/>
          <w:lang w:val="en-US" w:eastAsia="zh-CN"/>
        </w:rPr>
        <w:t>党群工作部，朱永进</w:t>
      </w:r>
      <w:r>
        <w:rPr>
          <w:rFonts w:hint="default" w:ascii="仿宋_GB2312" w:eastAsia="仿宋_GB2312" w:hAnsiTheme="minorHAnsi" w:cstheme="minorBidi"/>
          <w:b w:val="0"/>
          <w:bCs/>
          <w:sz w:val="32"/>
          <w:szCs w:val="32"/>
          <w:lang w:val="en-US" w:eastAsia="zh-CN"/>
        </w:rPr>
        <w:t>同志兼任办公室主任，</w:t>
      </w:r>
      <w:r>
        <w:rPr>
          <w:rFonts w:hint="eastAsia" w:ascii="仿宋_GB2312" w:eastAsia="仿宋_GB2312" w:cstheme="minorBidi"/>
          <w:b w:val="0"/>
          <w:bCs/>
          <w:sz w:val="32"/>
          <w:szCs w:val="32"/>
          <w:lang w:val="en-US" w:eastAsia="zh-CN"/>
        </w:rPr>
        <w:t>刘曦</w:t>
      </w:r>
      <w:r>
        <w:rPr>
          <w:rFonts w:hint="default" w:ascii="仿宋_GB2312" w:eastAsia="仿宋_GB2312" w:hAnsiTheme="minorHAnsi" w:cstheme="minorBidi"/>
          <w:b w:val="0"/>
          <w:bCs/>
          <w:sz w:val="32"/>
          <w:szCs w:val="32"/>
          <w:lang w:val="en-US" w:eastAsia="zh-CN"/>
        </w:rPr>
        <w:t>同志兼任办公室副主任。</w:t>
      </w:r>
    </w:p>
    <w:p w14:paraId="3BEDF37D">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Cs/>
          <w:kern w:val="2"/>
          <w:sz w:val="32"/>
          <w:szCs w:val="32"/>
          <w:lang w:val="en-US" w:eastAsia="zh-CN" w:bidi="ar-SA"/>
        </w:rPr>
      </w:pPr>
    </w:p>
    <w:p w14:paraId="422EAEDC">
      <w:pPr>
        <w:pageBreakBefore w:val="0"/>
        <w:kinsoku/>
        <w:wordWrap/>
        <w:overflowPunct/>
        <w:topLinePunct w:val="0"/>
        <w:autoSpaceDN/>
        <w:bidi w:val="0"/>
        <w:spacing w:line="560" w:lineRule="exact"/>
        <w:textAlignment w:val="auto"/>
        <w:rPr>
          <w:rFonts w:hint="eastAsia"/>
          <w:lang w:val="en-US" w:eastAsia="zh-CN"/>
        </w:rPr>
      </w:pPr>
    </w:p>
    <w:sectPr>
      <w:footerReference r:id="rId3" w:type="default"/>
      <w:pgSz w:w="11906" w:h="16838"/>
      <w:pgMar w:top="1871" w:right="1531" w:bottom="1871" w:left="1531"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华文楷体">
    <w:altName w:val="楷体_GB2312"/>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E9842B">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DD719E">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7DD719E">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iNWM1MDU0ODc1MzlkYTBmNjkxMWM4NDg2Y2ExYTgifQ=="/>
  </w:docVars>
  <w:rsids>
    <w:rsidRoot w:val="00AD7895"/>
    <w:rsid w:val="0000660A"/>
    <w:rsid w:val="000F6F16"/>
    <w:rsid w:val="00124ACC"/>
    <w:rsid w:val="001C7DEE"/>
    <w:rsid w:val="00303F39"/>
    <w:rsid w:val="003803DD"/>
    <w:rsid w:val="003C4F3D"/>
    <w:rsid w:val="005A6842"/>
    <w:rsid w:val="007A4CF2"/>
    <w:rsid w:val="00813A24"/>
    <w:rsid w:val="0085063A"/>
    <w:rsid w:val="009948B0"/>
    <w:rsid w:val="00AD7895"/>
    <w:rsid w:val="00C708C9"/>
    <w:rsid w:val="00E466D1"/>
    <w:rsid w:val="00E9546F"/>
    <w:rsid w:val="00EF7CEB"/>
    <w:rsid w:val="010351AA"/>
    <w:rsid w:val="01D17056"/>
    <w:rsid w:val="02987B74"/>
    <w:rsid w:val="0301396B"/>
    <w:rsid w:val="03082F4B"/>
    <w:rsid w:val="0431687F"/>
    <w:rsid w:val="04473600"/>
    <w:rsid w:val="06112117"/>
    <w:rsid w:val="063A0363"/>
    <w:rsid w:val="069B7C33"/>
    <w:rsid w:val="080F08D8"/>
    <w:rsid w:val="09010F8A"/>
    <w:rsid w:val="092B63E5"/>
    <w:rsid w:val="093E6C72"/>
    <w:rsid w:val="0ACC0D02"/>
    <w:rsid w:val="0B0B35D9"/>
    <w:rsid w:val="0B792C38"/>
    <w:rsid w:val="0D3C013E"/>
    <w:rsid w:val="0D9F44AC"/>
    <w:rsid w:val="0F135152"/>
    <w:rsid w:val="0F182768"/>
    <w:rsid w:val="0F7B0D6D"/>
    <w:rsid w:val="106519DD"/>
    <w:rsid w:val="10B83A64"/>
    <w:rsid w:val="1134315E"/>
    <w:rsid w:val="11AE4CBE"/>
    <w:rsid w:val="125F420A"/>
    <w:rsid w:val="13A7230D"/>
    <w:rsid w:val="13D84274"/>
    <w:rsid w:val="144B0EEA"/>
    <w:rsid w:val="144D4C62"/>
    <w:rsid w:val="14A625C4"/>
    <w:rsid w:val="155E2E9F"/>
    <w:rsid w:val="15604521"/>
    <w:rsid w:val="17123F41"/>
    <w:rsid w:val="17DB1E48"/>
    <w:rsid w:val="19744A3F"/>
    <w:rsid w:val="19A35324"/>
    <w:rsid w:val="1A750A6F"/>
    <w:rsid w:val="1AF04DC8"/>
    <w:rsid w:val="1D7D294F"/>
    <w:rsid w:val="1E9A2C78"/>
    <w:rsid w:val="1FED554B"/>
    <w:rsid w:val="219E54BC"/>
    <w:rsid w:val="228757E3"/>
    <w:rsid w:val="23621DAC"/>
    <w:rsid w:val="2403533D"/>
    <w:rsid w:val="261A071C"/>
    <w:rsid w:val="26DE799C"/>
    <w:rsid w:val="27B70919"/>
    <w:rsid w:val="28060A46"/>
    <w:rsid w:val="2818512F"/>
    <w:rsid w:val="28DC7F0B"/>
    <w:rsid w:val="2A6C52BE"/>
    <w:rsid w:val="2AAB5DE7"/>
    <w:rsid w:val="2B3E30FF"/>
    <w:rsid w:val="2BFF463C"/>
    <w:rsid w:val="2C3D0467"/>
    <w:rsid w:val="2C7C7A3B"/>
    <w:rsid w:val="2D825525"/>
    <w:rsid w:val="2D990AC0"/>
    <w:rsid w:val="2F5051AF"/>
    <w:rsid w:val="2F7E390F"/>
    <w:rsid w:val="2F927575"/>
    <w:rsid w:val="2FA07EE4"/>
    <w:rsid w:val="2FD45DE0"/>
    <w:rsid w:val="3029612C"/>
    <w:rsid w:val="302C1778"/>
    <w:rsid w:val="31496359"/>
    <w:rsid w:val="319F5F79"/>
    <w:rsid w:val="31C75BFC"/>
    <w:rsid w:val="3268280F"/>
    <w:rsid w:val="332E3A59"/>
    <w:rsid w:val="335334BF"/>
    <w:rsid w:val="336E3E55"/>
    <w:rsid w:val="340622E0"/>
    <w:rsid w:val="349D00BE"/>
    <w:rsid w:val="34B561E0"/>
    <w:rsid w:val="36910587"/>
    <w:rsid w:val="36C329F8"/>
    <w:rsid w:val="36E20DE2"/>
    <w:rsid w:val="37B36B57"/>
    <w:rsid w:val="386B4E07"/>
    <w:rsid w:val="3A502507"/>
    <w:rsid w:val="3A571AE7"/>
    <w:rsid w:val="3B0A531A"/>
    <w:rsid w:val="3BFF5F92"/>
    <w:rsid w:val="3C461E13"/>
    <w:rsid w:val="3CD204B7"/>
    <w:rsid w:val="3D762284"/>
    <w:rsid w:val="3D9B618F"/>
    <w:rsid w:val="3E495BEB"/>
    <w:rsid w:val="3F5900B0"/>
    <w:rsid w:val="3FD339BE"/>
    <w:rsid w:val="3FDB2873"/>
    <w:rsid w:val="3FF51B86"/>
    <w:rsid w:val="407927B7"/>
    <w:rsid w:val="41DB1250"/>
    <w:rsid w:val="43CC0E50"/>
    <w:rsid w:val="449C3FF0"/>
    <w:rsid w:val="453A003B"/>
    <w:rsid w:val="47197814"/>
    <w:rsid w:val="47613FA5"/>
    <w:rsid w:val="4941408E"/>
    <w:rsid w:val="49A63EF1"/>
    <w:rsid w:val="4A6873F9"/>
    <w:rsid w:val="4D84279B"/>
    <w:rsid w:val="4E546612"/>
    <w:rsid w:val="4E604FB7"/>
    <w:rsid w:val="4F714FA1"/>
    <w:rsid w:val="4F7F146C"/>
    <w:rsid w:val="4FFE6835"/>
    <w:rsid w:val="517419D4"/>
    <w:rsid w:val="51AC22C1"/>
    <w:rsid w:val="51BA678C"/>
    <w:rsid w:val="530B3793"/>
    <w:rsid w:val="535B7AFB"/>
    <w:rsid w:val="53C21167"/>
    <w:rsid w:val="54B95421"/>
    <w:rsid w:val="556233C2"/>
    <w:rsid w:val="562C39D0"/>
    <w:rsid w:val="56494582"/>
    <w:rsid w:val="56813D1C"/>
    <w:rsid w:val="57062473"/>
    <w:rsid w:val="573B211D"/>
    <w:rsid w:val="574D3BFE"/>
    <w:rsid w:val="58044C05"/>
    <w:rsid w:val="5818245E"/>
    <w:rsid w:val="583848AE"/>
    <w:rsid w:val="5A5E662D"/>
    <w:rsid w:val="5C6E4D42"/>
    <w:rsid w:val="5C6E6AF1"/>
    <w:rsid w:val="5E0019CA"/>
    <w:rsid w:val="5F125E59"/>
    <w:rsid w:val="5FAA42E4"/>
    <w:rsid w:val="60561D75"/>
    <w:rsid w:val="6065645C"/>
    <w:rsid w:val="60932FCA"/>
    <w:rsid w:val="611B6B1B"/>
    <w:rsid w:val="657809E0"/>
    <w:rsid w:val="65956E9C"/>
    <w:rsid w:val="65C41498"/>
    <w:rsid w:val="67786A75"/>
    <w:rsid w:val="6832131A"/>
    <w:rsid w:val="68D4417F"/>
    <w:rsid w:val="69605A13"/>
    <w:rsid w:val="69E228CC"/>
    <w:rsid w:val="6B1104B4"/>
    <w:rsid w:val="6BCC3834"/>
    <w:rsid w:val="6D475D9B"/>
    <w:rsid w:val="6D684980"/>
    <w:rsid w:val="6EF03395"/>
    <w:rsid w:val="6F2D283B"/>
    <w:rsid w:val="6F524050"/>
    <w:rsid w:val="70B2124A"/>
    <w:rsid w:val="71325EE7"/>
    <w:rsid w:val="726C367A"/>
    <w:rsid w:val="72897D89"/>
    <w:rsid w:val="729558F2"/>
    <w:rsid w:val="729D55E2"/>
    <w:rsid w:val="72CB65F3"/>
    <w:rsid w:val="73C31078"/>
    <w:rsid w:val="74575C64"/>
    <w:rsid w:val="755A3C5E"/>
    <w:rsid w:val="763E70DC"/>
    <w:rsid w:val="76EE554B"/>
    <w:rsid w:val="7705378F"/>
    <w:rsid w:val="77B91110"/>
    <w:rsid w:val="792A3948"/>
    <w:rsid w:val="79782A8C"/>
    <w:rsid w:val="79817A0B"/>
    <w:rsid w:val="79C30024"/>
    <w:rsid w:val="7AB21E46"/>
    <w:rsid w:val="7AC57DCC"/>
    <w:rsid w:val="7B120345"/>
    <w:rsid w:val="7B5D1DB2"/>
    <w:rsid w:val="7C4B60AF"/>
    <w:rsid w:val="7CF44998"/>
    <w:rsid w:val="7DB61C4E"/>
    <w:rsid w:val="7E2766A8"/>
    <w:rsid w:val="7F031A27"/>
    <w:rsid w:val="7F8F27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Lines="0" w:beforeAutospacing="0" w:afterLines="0" w:afterAutospacing="0" w:line="560" w:lineRule="exact"/>
      <w:ind w:firstLine="0" w:firstLineChars="0"/>
      <w:jc w:val="center"/>
      <w:outlineLvl w:val="0"/>
    </w:pPr>
    <w:rPr>
      <w:rFonts w:eastAsia="方正小标宋简体"/>
      <w:kern w:val="44"/>
      <w:sz w:val="44"/>
    </w:rPr>
  </w:style>
  <w:style w:type="paragraph" w:styleId="3">
    <w:name w:val="heading 2"/>
    <w:basedOn w:val="1"/>
    <w:next w:val="1"/>
    <w:qFormat/>
    <w:uiPriority w:val="0"/>
    <w:pPr>
      <w:keepNext/>
      <w:keepLines/>
      <w:widowControl/>
      <w:adjustRightInd w:val="0"/>
      <w:snapToGrid w:val="0"/>
      <w:spacing w:before="260" w:after="260" w:line="416" w:lineRule="auto"/>
      <w:jc w:val="left"/>
      <w:outlineLvl w:val="1"/>
    </w:pPr>
    <w:rPr>
      <w:rFonts w:ascii="等线 Light" w:hAnsi="等线 Light" w:eastAsia="等线 Light" w:cs="Times New Roman"/>
      <w:b/>
      <w:bCs/>
      <w:kern w:val="0"/>
      <w:sz w:val="32"/>
      <w:szCs w:val="32"/>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1"/>
    <w:qFormat/>
    <w:uiPriority w:val="99"/>
    <w:pPr>
      <w:widowControl w:val="0"/>
      <w:ind w:firstLine="420" w:firstLineChars="200"/>
      <w:jc w:val="both"/>
    </w:pPr>
    <w:rPr>
      <w:rFonts w:ascii="Calibri" w:hAnsi="Calibri" w:eastAsia="宋体" w:cs="Times New Roman"/>
      <w:kern w:val="2"/>
      <w:sz w:val="21"/>
      <w:szCs w:val="24"/>
      <w:lang w:val="en-US" w:eastAsia="zh-CN" w:bidi="ar-SA"/>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页眉 Char"/>
    <w:basedOn w:val="9"/>
    <w:link w:val="6"/>
    <w:qFormat/>
    <w:uiPriority w:val="99"/>
    <w:rPr>
      <w:sz w:val="18"/>
      <w:szCs w:val="18"/>
    </w:rPr>
  </w:style>
  <w:style w:type="character" w:customStyle="1" w:styleId="11">
    <w:name w:val="页脚 Char"/>
    <w:basedOn w:val="9"/>
    <w:link w:val="5"/>
    <w:qFormat/>
    <w:uiPriority w:val="99"/>
    <w:rPr>
      <w:sz w:val="18"/>
      <w:szCs w:val="18"/>
    </w:rPr>
  </w:style>
  <w:style w:type="paragraph" w:customStyle="1" w:styleId="12">
    <w:name w:val="Default"/>
    <w:qFormat/>
    <w:uiPriority w:val="0"/>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xitongtiandi.net</Company>
  <Pages>35</Pages>
  <Words>16542</Words>
  <Characters>16845</Characters>
  <Lines>109</Lines>
  <Paragraphs>59</Paragraphs>
  <TotalTime>2</TotalTime>
  <ScaleCrop>false</ScaleCrop>
  <LinksUpToDate>false</LinksUpToDate>
  <CharactersWithSpaces>16902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2021-01-26T08:18:00Z</dcterms:created>
  <dc:creator>发文</dc:creator>
  <cp:lastModifiedBy>Administrator</cp:lastModifiedBy>
  <cp:lastPrinted>2025-03-07T03:24:00Z</cp:lastPrinted>
  <dcterms:modified xsi:type="dcterms:W3CDTF">2025-04-15T01:03:13Z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E9DFD358E1B0465D84F11EDC34FC7819_12</vt:lpwstr>
  </property>
  <property fmtid="{D5CDD505-2E9C-101B-9397-08002B2CF9AE}" pid="4" name="KSOTemplateDocerSaveRecord">
    <vt:lpwstr>eyJoZGlkIjoiMDVlNDlkNzM1YzRmYzI0MjcxNzI4MzA4MDRkOWQ0NjYifQ==</vt:lpwstr>
  </property>
</Properties>
</file>