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8EDE2B">
      <w:pPr>
        <w:pStyle w:val="2"/>
        <w:spacing w:before="0" w:beforeAutospacing="0" w:after="0" w:afterAutospacing="0" w:line="560" w:lineRule="exact"/>
        <w:rPr>
          <w:rFonts w:hint="default" w:ascii="Times New Roman" w:hAnsi="Times New Roman" w:eastAsia="仿宋_GB2312" w:cs="Times New Roman"/>
          <w:bCs/>
          <w:sz w:val="32"/>
          <w:szCs w:val="32"/>
        </w:rPr>
      </w:pPr>
      <w:r>
        <w:rPr>
          <w:rFonts w:hint="default" w:ascii="Times New Roman" w:hAnsi="Times New Roman" w:eastAsia="黑体" w:cs="Times New Roman"/>
          <w:bCs/>
          <w:sz w:val="32"/>
          <w:szCs w:val="32"/>
        </w:rPr>
        <w:t>附件1</w:t>
      </w:r>
      <w:r>
        <w:rPr>
          <w:rFonts w:hint="default" w:ascii="Times New Roman" w:hAnsi="Times New Roman" w:eastAsia="仿宋_GB2312" w:cs="Times New Roman"/>
          <w:bCs/>
          <w:sz w:val="32"/>
          <w:szCs w:val="32"/>
        </w:rPr>
        <w:t xml:space="preserve">  </w:t>
      </w:r>
    </w:p>
    <w:p w14:paraId="4A0C3E61">
      <w:pPr>
        <w:pStyle w:val="2"/>
        <w:spacing w:before="0" w:beforeAutospacing="0" w:after="0" w:afterAutospacing="0" w:line="640" w:lineRule="exact"/>
        <w:jc w:val="center"/>
        <w:rPr>
          <w:rFonts w:hint="default" w:ascii="Times New Roman" w:hAnsi="Times New Roman" w:eastAsia="方正小标宋_GBK" w:cs="Times New Roman"/>
          <w:bCs/>
          <w:spacing w:val="-1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Cs/>
          <w:spacing w:val="-10"/>
          <w:sz w:val="44"/>
          <w:szCs w:val="44"/>
        </w:rPr>
        <w:t>202</w:t>
      </w:r>
      <w:r>
        <w:rPr>
          <w:rFonts w:hint="default" w:ascii="Times New Roman" w:hAnsi="Times New Roman" w:eastAsia="方正小标宋_GBK" w:cs="Times New Roman"/>
          <w:bCs/>
          <w:spacing w:val="-10"/>
          <w:sz w:val="44"/>
          <w:szCs w:val="44"/>
          <w:lang w:val="en-US" w:eastAsia="zh-CN"/>
        </w:rPr>
        <w:t>5</w:t>
      </w:r>
      <w:r>
        <w:rPr>
          <w:rFonts w:hint="default" w:ascii="Times New Roman" w:hAnsi="Times New Roman" w:eastAsia="方正小标宋_GBK" w:cs="Times New Roman"/>
          <w:bCs/>
          <w:spacing w:val="-10"/>
          <w:sz w:val="44"/>
          <w:szCs w:val="44"/>
        </w:rPr>
        <w:t>年黄山市中考报名工作日程安排表</w:t>
      </w:r>
    </w:p>
    <w:tbl>
      <w:tblPr>
        <w:tblStyle w:val="3"/>
        <w:tblpPr w:leftFromText="180" w:rightFromText="180" w:vertAnchor="page" w:horzAnchor="page" w:tblpXSpec="center" w:tblpY="3578"/>
        <w:tblW w:w="96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4"/>
        <w:gridCol w:w="2410"/>
        <w:gridCol w:w="6066"/>
      </w:tblGrid>
      <w:tr w14:paraId="1C5A3F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  <w:jc w:val="center"/>
        </w:trPr>
        <w:tc>
          <w:tcPr>
            <w:tcW w:w="1164" w:type="dxa"/>
            <w:noWrap/>
            <w:vAlign w:val="center"/>
          </w:tcPr>
          <w:p w14:paraId="3E08DB60">
            <w:pPr>
              <w:widowControl/>
              <w:spacing w:line="560" w:lineRule="exact"/>
              <w:jc w:val="center"/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</w:rPr>
              <w:t>年级</w:t>
            </w:r>
          </w:p>
        </w:tc>
        <w:tc>
          <w:tcPr>
            <w:tcW w:w="2410" w:type="dxa"/>
            <w:noWrap/>
            <w:vAlign w:val="center"/>
          </w:tcPr>
          <w:p w14:paraId="53C77CAE">
            <w:pPr>
              <w:widowControl/>
              <w:spacing w:line="560" w:lineRule="exact"/>
              <w:jc w:val="center"/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</w:rPr>
              <w:t>时  间</w:t>
            </w:r>
          </w:p>
        </w:tc>
        <w:tc>
          <w:tcPr>
            <w:tcW w:w="6066" w:type="dxa"/>
            <w:vAlign w:val="center"/>
          </w:tcPr>
          <w:p w14:paraId="587A3208">
            <w:pPr>
              <w:widowControl/>
              <w:spacing w:line="500" w:lineRule="exact"/>
              <w:jc w:val="center"/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</w:rPr>
              <w:t>工作内容</w:t>
            </w:r>
          </w:p>
        </w:tc>
      </w:tr>
      <w:tr w14:paraId="28C934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5" w:hRule="atLeast"/>
          <w:jc w:val="center"/>
        </w:trPr>
        <w:tc>
          <w:tcPr>
            <w:tcW w:w="1164" w:type="dxa"/>
            <w:vMerge w:val="restart"/>
            <w:noWrap/>
            <w:textDirection w:val="tbRlV"/>
            <w:vAlign w:val="center"/>
          </w:tcPr>
          <w:p w14:paraId="0113C8CD">
            <w:pPr>
              <w:widowControl/>
              <w:spacing w:line="560" w:lineRule="exact"/>
              <w:jc w:val="center"/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</w:rPr>
              <w:t>九年级</w:t>
            </w:r>
          </w:p>
        </w:tc>
        <w:tc>
          <w:tcPr>
            <w:tcW w:w="2410" w:type="dxa"/>
            <w:noWrap/>
            <w:vAlign w:val="center"/>
          </w:tcPr>
          <w:p w14:paraId="0E2CC641">
            <w:pPr>
              <w:widowControl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3月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13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日—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19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日</w:t>
            </w:r>
          </w:p>
        </w:tc>
        <w:tc>
          <w:tcPr>
            <w:tcW w:w="6066" w:type="dxa"/>
            <w:vAlign w:val="center"/>
          </w:tcPr>
          <w:p w14:paraId="0F51349C">
            <w:pPr>
              <w:widowControl/>
              <w:spacing w:line="5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1.各报名点组织考生网上报名、电子采像(头像占照片尺寸的2/3,白底）、采集简历信息；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2.各报名点打印《报名确认单》交由考生本人核对签字确认，对发现的有误信息及时更正。该表由各报名点存档。</w:t>
            </w:r>
          </w:p>
        </w:tc>
      </w:tr>
      <w:tr w14:paraId="413FAA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1164" w:type="dxa"/>
            <w:vMerge w:val="continue"/>
            <w:vAlign w:val="center"/>
          </w:tcPr>
          <w:p w14:paraId="001F2F07">
            <w:pPr>
              <w:widowControl/>
              <w:spacing w:line="560" w:lineRule="exact"/>
              <w:jc w:val="center"/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</w:rPr>
            </w:pPr>
          </w:p>
        </w:tc>
        <w:tc>
          <w:tcPr>
            <w:tcW w:w="2410" w:type="dxa"/>
            <w:noWrap/>
            <w:vAlign w:val="center"/>
          </w:tcPr>
          <w:p w14:paraId="60E6A450">
            <w:pPr>
              <w:widowControl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3月2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0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日</w:t>
            </w:r>
          </w:p>
        </w:tc>
        <w:tc>
          <w:tcPr>
            <w:tcW w:w="6066" w:type="dxa"/>
            <w:vAlign w:val="center"/>
          </w:tcPr>
          <w:p w14:paraId="06A26808">
            <w:pPr>
              <w:widowControl/>
              <w:spacing w:line="5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各区县教育考试机构生成中考考生准考号（继续采用省定准考号12位编排规则）。</w:t>
            </w:r>
          </w:p>
        </w:tc>
      </w:tr>
      <w:tr w14:paraId="656CCB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164" w:type="dxa"/>
            <w:vMerge w:val="continue"/>
            <w:vAlign w:val="center"/>
          </w:tcPr>
          <w:p w14:paraId="0DC6B7C0">
            <w:pPr>
              <w:widowControl/>
              <w:spacing w:line="560" w:lineRule="exact"/>
              <w:jc w:val="center"/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</w:rPr>
            </w:pPr>
          </w:p>
        </w:tc>
        <w:tc>
          <w:tcPr>
            <w:tcW w:w="2410" w:type="dxa"/>
            <w:noWrap/>
            <w:vAlign w:val="center"/>
          </w:tcPr>
          <w:p w14:paraId="662AB0A2">
            <w:pPr>
              <w:widowControl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3月2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日后</w:t>
            </w:r>
          </w:p>
        </w:tc>
        <w:tc>
          <w:tcPr>
            <w:tcW w:w="6066" w:type="dxa"/>
            <w:noWrap/>
            <w:vAlign w:val="center"/>
          </w:tcPr>
          <w:p w14:paraId="37AC21B4">
            <w:pPr>
              <w:widowControl/>
              <w:spacing w:line="5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各报名点采集汇总体育选项信息，同时录入评语信息，下载考生信息和照片。</w:t>
            </w:r>
          </w:p>
        </w:tc>
      </w:tr>
      <w:tr w14:paraId="49B574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5" w:hRule="atLeast"/>
          <w:jc w:val="center"/>
        </w:trPr>
        <w:tc>
          <w:tcPr>
            <w:tcW w:w="1164" w:type="dxa"/>
            <w:vMerge w:val="restart"/>
            <w:noWrap/>
            <w:textDirection w:val="tbRlV"/>
            <w:vAlign w:val="center"/>
          </w:tcPr>
          <w:p w14:paraId="2C9FFEBD">
            <w:pPr>
              <w:widowControl/>
              <w:spacing w:line="560" w:lineRule="exact"/>
              <w:jc w:val="center"/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</w:rPr>
              <w:t>八年级</w:t>
            </w:r>
          </w:p>
        </w:tc>
        <w:tc>
          <w:tcPr>
            <w:tcW w:w="2410" w:type="dxa"/>
            <w:noWrap/>
            <w:vAlign w:val="center"/>
          </w:tcPr>
          <w:p w14:paraId="5FCE54AF">
            <w:pPr>
              <w:widowControl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3月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21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日—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27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日</w:t>
            </w:r>
          </w:p>
        </w:tc>
        <w:tc>
          <w:tcPr>
            <w:tcW w:w="6066" w:type="dxa"/>
            <w:vAlign w:val="center"/>
          </w:tcPr>
          <w:p w14:paraId="105C22C2">
            <w:pPr>
              <w:widowControl/>
              <w:spacing w:line="5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1.各报名点组织考生网上报名、电子采像(头像占照片尺寸的2/3,白底）；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2.各报名点打印《报名确认单》交由考生本人核对签字确认，对发现的有误信息及时更正。该表由各报名点存档。</w:t>
            </w:r>
          </w:p>
        </w:tc>
      </w:tr>
      <w:tr w14:paraId="66E3C0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1164" w:type="dxa"/>
            <w:vMerge w:val="continue"/>
            <w:vAlign w:val="center"/>
          </w:tcPr>
          <w:p w14:paraId="24D9809A">
            <w:pPr>
              <w:widowControl/>
              <w:spacing w:line="560" w:lineRule="exact"/>
              <w:jc w:val="center"/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</w:rPr>
            </w:pPr>
          </w:p>
        </w:tc>
        <w:tc>
          <w:tcPr>
            <w:tcW w:w="2410" w:type="dxa"/>
            <w:noWrap/>
            <w:vAlign w:val="center"/>
          </w:tcPr>
          <w:p w14:paraId="25641F6A">
            <w:pPr>
              <w:widowControl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28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日</w:t>
            </w:r>
          </w:p>
        </w:tc>
        <w:tc>
          <w:tcPr>
            <w:tcW w:w="6066" w:type="dxa"/>
            <w:vAlign w:val="center"/>
          </w:tcPr>
          <w:p w14:paraId="2B416BFA">
            <w:pPr>
              <w:widowControl/>
              <w:spacing w:line="5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各区县教育考试机构生成中考考生准考号（继续采用省定准考号12位编排规则）。</w:t>
            </w:r>
          </w:p>
        </w:tc>
      </w:tr>
      <w:tr w14:paraId="357D39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1164" w:type="dxa"/>
            <w:vMerge w:val="continue"/>
            <w:vAlign w:val="center"/>
          </w:tcPr>
          <w:p w14:paraId="5A9E1E83">
            <w:pPr>
              <w:widowControl/>
              <w:spacing w:line="560" w:lineRule="exact"/>
              <w:jc w:val="center"/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</w:rPr>
            </w:pPr>
          </w:p>
        </w:tc>
        <w:tc>
          <w:tcPr>
            <w:tcW w:w="2410" w:type="dxa"/>
            <w:noWrap/>
            <w:vAlign w:val="center"/>
          </w:tcPr>
          <w:p w14:paraId="42A5F0C1">
            <w:pPr>
              <w:widowControl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9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日后</w:t>
            </w:r>
          </w:p>
        </w:tc>
        <w:tc>
          <w:tcPr>
            <w:tcW w:w="6066" w:type="dxa"/>
            <w:noWrap/>
            <w:vAlign w:val="center"/>
          </w:tcPr>
          <w:p w14:paraId="3839FDE2">
            <w:pPr>
              <w:widowControl/>
              <w:spacing w:line="5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各报名点下载考生信息和照片。</w:t>
            </w:r>
          </w:p>
        </w:tc>
      </w:tr>
      <w:tr w14:paraId="5C6095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1" w:hRule="atLeast"/>
          <w:jc w:val="center"/>
        </w:trPr>
        <w:tc>
          <w:tcPr>
            <w:tcW w:w="1164" w:type="dxa"/>
            <w:noWrap/>
            <w:textDirection w:val="tbRlV"/>
            <w:vAlign w:val="center"/>
          </w:tcPr>
          <w:p w14:paraId="209C479F">
            <w:pPr>
              <w:widowControl/>
              <w:spacing w:line="560" w:lineRule="exact"/>
              <w:jc w:val="center"/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</w:rPr>
              <w:t>八九年级</w:t>
            </w:r>
          </w:p>
        </w:tc>
        <w:tc>
          <w:tcPr>
            <w:tcW w:w="2410" w:type="dxa"/>
            <w:noWrap/>
            <w:vAlign w:val="center"/>
          </w:tcPr>
          <w:p w14:paraId="64F8002B">
            <w:pPr>
              <w:widowControl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3月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13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日—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27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日</w:t>
            </w:r>
          </w:p>
        </w:tc>
        <w:tc>
          <w:tcPr>
            <w:tcW w:w="6066" w:type="dxa"/>
            <w:vAlign w:val="center"/>
          </w:tcPr>
          <w:p w14:paraId="07EF06E1">
            <w:pPr>
              <w:widowControl/>
              <w:spacing w:line="500" w:lineRule="exact"/>
              <w:jc w:val="left"/>
              <w:rPr>
                <w:rFonts w:hint="default" w:ascii="Times New Roman" w:hAnsi="Times New Roman" w:eastAsia="仿宋_GB2312" w:cs="Times New Roman"/>
                <w:spacing w:val="-1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pacing w:val="-10"/>
                <w:kern w:val="0"/>
                <w:sz w:val="28"/>
                <w:szCs w:val="28"/>
              </w:rPr>
              <w:t>各区县及报名点缴纳报名费。</w:t>
            </w:r>
          </w:p>
        </w:tc>
      </w:tr>
    </w:tbl>
    <w:p w14:paraId="42D1B4C0">
      <w:pPr>
        <w:spacing w:line="640" w:lineRule="exact"/>
        <w:jc w:val="center"/>
        <w:rPr>
          <w:rFonts w:hint="default" w:ascii="Times New Roman" w:hAnsi="Times New Roman" w:eastAsia="方正小标宋_GBK" w:cs="Times New Roman"/>
          <w:sz w:val="32"/>
          <w:szCs w:val="32"/>
        </w:rPr>
      </w:pPr>
    </w:p>
    <w:p w14:paraId="1DB95CB8">
      <w:pPr>
        <w:spacing w:line="640" w:lineRule="exact"/>
        <w:jc w:val="center"/>
        <w:rPr>
          <w:rFonts w:hint="default" w:ascii="Times New Roman" w:hAnsi="Times New Roman" w:eastAsia="方正小标宋_GBK" w:cs="Times New Roman"/>
          <w:sz w:val="44"/>
          <w:szCs w:val="44"/>
        </w:rPr>
      </w:pPr>
    </w:p>
    <w:p w14:paraId="6E7862A7">
      <w:pPr>
        <w:pStyle w:val="2"/>
        <w:spacing w:before="0" w:beforeAutospacing="0" w:after="0" w:afterAutospacing="0" w:line="560" w:lineRule="exact"/>
        <w:rPr>
          <w:rFonts w:hint="default" w:ascii="Times New Roman" w:hAnsi="Times New Roman" w:eastAsia="黑体" w:cs="Times New Roman"/>
          <w:bCs/>
          <w:sz w:val="32"/>
          <w:szCs w:val="32"/>
        </w:rPr>
      </w:pPr>
      <w:r>
        <w:rPr>
          <w:rFonts w:hint="default" w:ascii="Times New Roman" w:hAnsi="Times New Roman" w:eastAsia="黑体" w:cs="Times New Roman"/>
          <w:bCs/>
          <w:sz w:val="32"/>
          <w:szCs w:val="32"/>
        </w:rPr>
        <w:t>附件2</w:t>
      </w:r>
    </w:p>
    <w:p w14:paraId="7662CC89">
      <w:pPr>
        <w:spacing w:line="640" w:lineRule="exact"/>
        <w:jc w:val="center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202</w:t>
      </w:r>
      <w:r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  <w:t>5</w:t>
      </w:r>
      <w:r>
        <w:rPr>
          <w:rFonts w:hint="default" w:ascii="Times New Roman" w:hAnsi="Times New Roman" w:eastAsia="方正小标宋_GBK" w:cs="Times New Roman"/>
          <w:sz w:val="44"/>
          <w:szCs w:val="44"/>
        </w:rPr>
        <w:t>年黄山市初中学业水平考试报名</w:t>
      </w:r>
    </w:p>
    <w:p w14:paraId="2D196F5A">
      <w:pPr>
        <w:spacing w:line="640" w:lineRule="exact"/>
        <w:jc w:val="center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情况统计表</w:t>
      </w:r>
    </w:p>
    <w:p w14:paraId="71F12057">
      <w:pPr>
        <w:rPr>
          <w:rFonts w:hint="default" w:ascii="Times New Roman" w:hAnsi="Times New Roman" w:eastAsia="黑体" w:cs="Times New Roman"/>
          <w:sz w:val="28"/>
          <w:szCs w:val="28"/>
        </w:rPr>
      </w:pPr>
      <w:r>
        <w:rPr>
          <w:rFonts w:hint="default" w:ascii="Times New Roman" w:hAnsi="Times New Roman" w:eastAsia="黑体" w:cs="Times New Roman"/>
          <w:sz w:val="28"/>
          <w:szCs w:val="28"/>
        </w:rPr>
        <w:t>区县：</w:t>
      </w:r>
    </w:p>
    <w:tbl>
      <w:tblPr>
        <w:tblStyle w:val="3"/>
        <w:tblW w:w="879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0"/>
        <w:gridCol w:w="856"/>
        <w:gridCol w:w="856"/>
        <w:gridCol w:w="856"/>
        <w:gridCol w:w="856"/>
        <w:gridCol w:w="611"/>
        <w:gridCol w:w="612"/>
        <w:gridCol w:w="611"/>
        <w:gridCol w:w="611"/>
        <w:gridCol w:w="611"/>
        <w:gridCol w:w="603"/>
      </w:tblGrid>
      <w:tr w14:paraId="301430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1710" w:type="dxa"/>
            <w:vMerge w:val="restart"/>
            <w:vAlign w:val="center"/>
          </w:tcPr>
          <w:p w14:paraId="44447810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报名点名称</w:t>
            </w:r>
          </w:p>
        </w:tc>
        <w:tc>
          <w:tcPr>
            <w:tcW w:w="856" w:type="dxa"/>
            <w:vMerge w:val="restart"/>
            <w:vAlign w:val="center"/>
          </w:tcPr>
          <w:p w14:paraId="27CD7B19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报名人数</w:t>
            </w:r>
          </w:p>
        </w:tc>
        <w:tc>
          <w:tcPr>
            <w:tcW w:w="856" w:type="dxa"/>
            <w:vMerge w:val="restart"/>
            <w:vAlign w:val="center"/>
          </w:tcPr>
          <w:p w14:paraId="29C4C10F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在籍人数</w:t>
            </w:r>
          </w:p>
        </w:tc>
        <w:tc>
          <w:tcPr>
            <w:tcW w:w="856" w:type="dxa"/>
            <w:vMerge w:val="restart"/>
            <w:vAlign w:val="center"/>
          </w:tcPr>
          <w:p w14:paraId="07BE7E46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未报人数</w:t>
            </w:r>
          </w:p>
        </w:tc>
        <w:tc>
          <w:tcPr>
            <w:tcW w:w="856" w:type="dxa"/>
            <w:vMerge w:val="restart"/>
            <w:vAlign w:val="center"/>
          </w:tcPr>
          <w:p w14:paraId="51FBD8B3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增补人数</w:t>
            </w:r>
          </w:p>
        </w:tc>
        <w:tc>
          <w:tcPr>
            <w:tcW w:w="1223" w:type="dxa"/>
            <w:gridSpan w:val="2"/>
            <w:vAlign w:val="center"/>
          </w:tcPr>
          <w:p w14:paraId="541AA334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届 别</w:t>
            </w:r>
          </w:p>
        </w:tc>
        <w:tc>
          <w:tcPr>
            <w:tcW w:w="2436" w:type="dxa"/>
            <w:gridSpan w:val="4"/>
            <w:vAlign w:val="center"/>
          </w:tcPr>
          <w:p w14:paraId="0041BAE0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户口情况</w:t>
            </w:r>
          </w:p>
        </w:tc>
      </w:tr>
      <w:tr w14:paraId="74238F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  <w:jc w:val="center"/>
        </w:trPr>
        <w:tc>
          <w:tcPr>
            <w:tcW w:w="1710" w:type="dxa"/>
            <w:vMerge w:val="continue"/>
            <w:vAlign w:val="center"/>
          </w:tcPr>
          <w:p w14:paraId="4FD1875C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856" w:type="dxa"/>
            <w:vMerge w:val="continue"/>
            <w:vAlign w:val="center"/>
          </w:tcPr>
          <w:p w14:paraId="7C17585D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856" w:type="dxa"/>
            <w:vMerge w:val="continue"/>
            <w:vAlign w:val="center"/>
          </w:tcPr>
          <w:p w14:paraId="2809B428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856" w:type="dxa"/>
            <w:vMerge w:val="continue"/>
            <w:vAlign w:val="center"/>
          </w:tcPr>
          <w:p w14:paraId="624CA310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856" w:type="dxa"/>
            <w:vMerge w:val="continue"/>
            <w:vAlign w:val="center"/>
          </w:tcPr>
          <w:p w14:paraId="0E821763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611" w:type="dxa"/>
            <w:vAlign w:val="center"/>
          </w:tcPr>
          <w:p w14:paraId="3E589AD6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应届</w:t>
            </w:r>
          </w:p>
        </w:tc>
        <w:tc>
          <w:tcPr>
            <w:tcW w:w="612" w:type="dxa"/>
            <w:vAlign w:val="center"/>
          </w:tcPr>
          <w:p w14:paraId="35511C72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历届</w:t>
            </w:r>
          </w:p>
        </w:tc>
        <w:tc>
          <w:tcPr>
            <w:tcW w:w="611" w:type="dxa"/>
            <w:vAlign w:val="center"/>
          </w:tcPr>
          <w:p w14:paraId="707FF377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市直</w:t>
            </w:r>
          </w:p>
        </w:tc>
        <w:tc>
          <w:tcPr>
            <w:tcW w:w="611" w:type="dxa"/>
            <w:vAlign w:val="center"/>
          </w:tcPr>
          <w:p w14:paraId="221DEB1B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区县</w:t>
            </w:r>
          </w:p>
        </w:tc>
        <w:tc>
          <w:tcPr>
            <w:tcW w:w="611" w:type="dxa"/>
            <w:vAlign w:val="center"/>
          </w:tcPr>
          <w:p w14:paraId="599E08F8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本省</w:t>
            </w:r>
          </w:p>
        </w:tc>
        <w:tc>
          <w:tcPr>
            <w:tcW w:w="603" w:type="dxa"/>
            <w:vAlign w:val="center"/>
          </w:tcPr>
          <w:p w14:paraId="4B0DBAC2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外省</w:t>
            </w:r>
          </w:p>
        </w:tc>
      </w:tr>
      <w:tr w14:paraId="3585D2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exact"/>
          <w:jc w:val="center"/>
        </w:trPr>
        <w:tc>
          <w:tcPr>
            <w:tcW w:w="1710" w:type="dxa"/>
            <w:vAlign w:val="center"/>
          </w:tcPr>
          <w:p w14:paraId="1216A7D7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856" w:type="dxa"/>
            <w:vAlign w:val="center"/>
          </w:tcPr>
          <w:p w14:paraId="0DD3F3EE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856" w:type="dxa"/>
            <w:vAlign w:val="center"/>
          </w:tcPr>
          <w:p w14:paraId="392C00CA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856" w:type="dxa"/>
            <w:vAlign w:val="center"/>
          </w:tcPr>
          <w:p w14:paraId="3702F663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856" w:type="dxa"/>
            <w:vAlign w:val="center"/>
          </w:tcPr>
          <w:p w14:paraId="2F77378E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611" w:type="dxa"/>
            <w:vAlign w:val="center"/>
          </w:tcPr>
          <w:p w14:paraId="341E85B9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612" w:type="dxa"/>
            <w:vAlign w:val="center"/>
          </w:tcPr>
          <w:p w14:paraId="37D712C9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611" w:type="dxa"/>
            <w:vAlign w:val="center"/>
          </w:tcPr>
          <w:p w14:paraId="17DDBA6B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611" w:type="dxa"/>
            <w:vAlign w:val="center"/>
          </w:tcPr>
          <w:p w14:paraId="4A3F2007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611" w:type="dxa"/>
            <w:vAlign w:val="center"/>
          </w:tcPr>
          <w:p w14:paraId="13B1C8B0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603" w:type="dxa"/>
            <w:vAlign w:val="center"/>
          </w:tcPr>
          <w:p w14:paraId="43B08780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</w:tr>
      <w:tr w14:paraId="559097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exact"/>
          <w:jc w:val="center"/>
        </w:trPr>
        <w:tc>
          <w:tcPr>
            <w:tcW w:w="1710" w:type="dxa"/>
            <w:vAlign w:val="center"/>
          </w:tcPr>
          <w:p w14:paraId="4F389B1C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856" w:type="dxa"/>
            <w:vAlign w:val="center"/>
          </w:tcPr>
          <w:p w14:paraId="6C911E22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856" w:type="dxa"/>
            <w:vAlign w:val="center"/>
          </w:tcPr>
          <w:p w14:paraId="5E724681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856" w:type="dxa"/>
            <w:vAlign w:val="center"/>
          </w:tcPr>
          <w:p w14:paraId="6197C601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856" w:type="dxa"/>
            <w:vAlign w:val="center"/>
          </w:tcPr>
          <w:p w14:paraId="3CD5A72B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611" w:type="dxa"/>
            <w:vAlign w:val="center"/>
          </w:tcPr>
          <w:p w14:paraId="7087A9BB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612" w:type="dxa"/>
            <w:vAlign w:val="center"/>
          </w:tcPr>
          <w:p w14:paraId="7DB31A84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611" w:type="dxa"/>
            <w:vAlign w:val="center"/>
          </w:tcPr>
          <w:p w14:paraId="475D6477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611" w:type="dxa"/>
            <w:vAlign w:val="center"/>
          </w:tcPr>
          <w:p w14:paraId="7F1C2E1F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611" w:type="dxa"/>
            <w:vAlign w:val="center"/>
          </w:tcPr>
          <w:p w14:paraId="1E3156BE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603" w:type="dxa"/>
            <w:vAlign w:val="center"/>
          </w:tcPr>
          <w:p w14:paraId="7790472A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</w:tr>
      <w:tr w14:paraId="40DE3B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exact"/>
          <w:jc w:val="center"/>
        </w:trPr>
        <w:tc>
          <w:tcPr>
            <w:tcW w:w="1710" w:type="dxa"/>
            <w:vAlign w:val="center"/>
          </w:tcPr>
          <w:p w14:paraId="5E771D59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856" w:type="dxa"/>
            <w:vAlign w:val="center"/>
          </w:tcPr>
          <w:p w14:paraId="6E7D6830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856" w:type="dxa"/>
            <w:vAlign w:val="center"/>
          </w:tcPr>
          <w:p w14:paraId="15470CB6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856" w:type="dxa"/>
            <w:vAlign w:val="center"/>
          </w:tcPr>
          <w:p w14:paraId="224F2002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856" w:type="dxa"/>
            <w:vAlign w:val="center"/>
          </w:tcPr>
          <w:p w14:paraId="195AAC7F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611" w:type="dxa"/>
            <w:vAlign w:val="center"/>
          </w:tcPr>
          <w:p w14:paraId="1AC20425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612" w:type="dxa"/>
            <w:vAlign w:val="center"/>
          </w:tcPr>
          <w:p w14:paraId="50FCD6D4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611" w:type="dxa"/>
            <w:vAlign w:val="center"/>
          </w:tcPr>
          <w:p w14:paraId="06391967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611" w:type="dxa"/>
            <w:vAlign w:val="center"/>
          </w:tcPr>
          <w:p w14:paraId="14F58D9D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611" w:type="dxa"/>
            <w:vAlign w:val="center"/>
          </w:tcPr>
          <w:p w14:paraId="4145F497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603" w:type="dxa"/>
            <w:vAlign w:val="center"/>
          </w:tcPr>
          <w:p w14:paraId="545663CC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</w:tr>
      <w:tr w14:paraId="51808B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exact"/>
          <w:jc w:val="center"/>
        </w:trPr>
        <w:tc>
          <w:tcPr>
            <w:tcW w:w="1710" w:type="dxa"/>
            <w:vAlign w:val="center"/>
          </w:tcPr>
          <w:p w14:paraId="12B789C7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856" w:type="dxa"/>
            <w:vAlign w:val="center"/>
          </w:tcPr>
          <w:p w14:paraId="376D03F4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856" w:type="dxa"/>
            <w:vAlign w:val="center"/>
          </w:tcPr>
          <w:p w14:paraId="3C6C885A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856" w:type="dxa"/>
            <w:vAlign w:val="center"/>
          </w:tcPr>
          <w:p w14:paraId="54CA7416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856" w:type="dxa"/>
            <w:vAlign w:val="center"/>
          </w:tcPr>
          <w:p w14:paraId="674CEBF7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611" w:type="dxa"/>
            <w:vAlign w:val="center"/>
          </w:tcPr>
          <w:p w14:paraId="7688E271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612" w:type="dxa"/>
            <w:vAlign w:val="center"/>
          </w:tcPr>
          <w:p w14:paraId="55E6CFEE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611" w:type="dxa"/>
            <w:vAlign w:val="center"/>
          </w:tcPr>
          <w:p w14:paraId="2AEB7B73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611" w:type="dxa"/>
            <w:vAlign w:val="center"/>
          </w:tcPr>
          <w:p w14:paraId="7D512E1B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611" w:type="dxa"/>
            <w:vAlign w:val="center"/>
          </w:tcPr>
          <w:p w14:paraId="1A51AF67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603" w:type="dxa"/>
            <w:vAlign w:val="center"/>
          </w:tcPr>
          <w:p w14:paraId="75FD144D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</w:tr>
      <w:tr w14:paraId="0B958F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exact"/>
          <w:jc w:val="center"/>
        </w:trPr>
        <w:tc>
          <w:tcPr>
            <w:tcW w:w="1710" w:type="dxa"/>
            <w:vAlign w:val="center"/>
          </w:tcPr>
          <w:p w14:paraId="7008951E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856" w:type="dxa"/>
            <w:vAlign w:val="center"/>
          </w:tcPr>
          <w:p w14:paraId="25BEC929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856" w:type="dxa"/>
            <w:vAlign w:val="center"/>
          </w:tcPr>
          <w:p w14:paraId="4ADE1D85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856" w:type="dxa"/>
            <w:vAlign w:val="center"/>
          </w:tcPr>
          <w:p w14:paraId="5A920B52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856" w:type="dxa"/>
            <w:vAlign w:val="center"/>
          </w:tcPr>
          <w:p w14:paraId="5548A570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611" w:type="dxa"/>
            <w:vAlign w:val="center"/>
          </w:tcPr>
          <w:p w14:paraId="66D5171F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612" w:type="dxa"/>
            <w:vAlign w:val="center"/>
          </w:tcPr>
          <w:p w14:paraId="56ED5EC7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611" w:type="dxa"/>
            <w:vAlign w:val="center"/>
          </w:tcPr>
          <w:p w14:paraId="21D7922E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611" w:type="dxa"/>
            <w:vAlign w:val="center"/>
          </w:tcPr>
          <w:p w14:paraId="06DB0E57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611" w:type="dxa"/>
            <w:vAlign w:val="center"/>
          </w:tcPr>
          <w:p w14:paraId="4D4922D1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603" w:type="dxa"/>
            <w:vAlign w:val="center"/>
          </w:tcPr>
          <w:p w14:paraId="1E73BB95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</w:tr>
      <w:tr w14:paraId="665266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exact"/>
          <w:jc w:val="center"/>
        </w:trPr>
        <w:tc>
          <w:tcPr>
            <w:tcW w:w="1710" w:type="dxa"/>
            <w:vAlign w:val="center"/>
          </w:tcPr>
          <w:p w14:paraId="7E461D82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856" w:type="dxa"/>
            <w:vAlign w:val="center"/>
          </w:tcPr>
          <w:p w14:paraId="2F2E568E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856" w:type="dxa"/>
            <w:vAlign w:val="center"/>
          </w:tcPr>
          <w:p w14:paraId="65072ED5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856" w:type="dxa"/>
            <w:vAlign w:val="center"/>
          </w:tcPr>
          <w:p w14:paraId="242565E3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856" w:type="dxa"/>
            <w:vAlign w:val="center"/>
          </w:tcPr>
          <w:p w14:paraId="7A8FE141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611" w:type="dxa"/>
            <w:vAlign w:val="center"/>
          </w:tcPr>
          <w:p w14:paraId="12675A33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612" w:type="dxa"/>
            <w:vAlign w:val="center"/>
          </w:tcPr>
          <w:p w14:paraId="667CB8D9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611" w:type="dxa"/>
            <w:vAlign w:val="center"/>
          </w:tcPr>
          <w:p w14:paraId="2D05563E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611" w:type="dxa"/>
            <w:vAlign w:val="center"/>
          </w:tcPr>
          <w:p w14:paraId="6CB64B68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611" w:type="dxa"/>
            <w:vAlign w:val="center"/>
          </w:tcPr>
          <w:p w14:paraId="6E338480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603" w:type="dxa"/>
            <w:vAlign w:val="center"/>
          </w:tcPr>
          <w:p w14:paraId="2B048402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</w:tr>
      <w:tr w14:paraId="309435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exact"/>
          <w:jc w:val="center"/>
        </w:trPr>
        <w:tc>
          <w:tcPr>
            <w:tcW w:w="1710" w:type="dxa"/>
            <w:vAlign w:val="center"/>
          </w:tcPr>
          <w:p w14:paraId="6F40621A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856" w:type="dxa"/>
            <w:vAlign w:val="center"/>
          </w:tcPr>
          <w:p w14:paraId="18BF4686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856" w:type="dxa"/>
            <w:vAlign w:val="center"/>
          </w:tcPr>
          <w:p w14:paraId="069CA2BE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856" w:type="dxa"/>
            <w:vAlign w:val="center"/>
          </w:tcPr>
          <w:p w14:paraId="66F67A6B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856" w:type="dxa"/>
            <w:vAlign w:val="center"/>
          </w:tcPr>
          <w:p w14:paraId="50C6B4F4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611" w:type="dxa"/>
            <w:vAlign w:val="center"/>
          </w:tcPr>
          <w:p w14:paraId="520434C6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612" w:type="dxa"/>
            <w:vAlign w:val="center"/>
          </w:tcPr>
          <w:p w14:paraId="1681AB34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611" w:type="dxa"/>
            <w:vAlign w:val="center"/>
          </w:tcPr>
          <w:p w14:paraId="09539D49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611" w:type="dxa"/>
            <w:vAlign w:val="center"/>
          </w:tcPr>
          <w:p w14:paraId="70BEB0C9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611" w:type="dxa"/>
            <w:vAlign w:val="center"/>
          </w:tcPr>
          <w:p w14:paraId="499D8AA0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603" w:type="dxa"/>
            <w:vAlign w:val="center"/>
          </w:tcPr>
          <w:p w14:paraId="675C0D19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</w:tr>
      <w:tr w14:paraId="6A84B0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exact"/>
          <w:jc w:val="center"/>
        </w:trPr>
        <w:tc>
          <w:tcPr>
            <w:tcW w:w="1710" w:type="dxa"/>
            <w:vAlign w:val="center"/>
          </w:tcPr>
          <w:p w14:paraId="519BB9E9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856" w:type="dxa"/>
            <w:vAlign w:val="center"/>
          </w:tcPr>
          <w:p w14:paraId="5679C121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856" w:type="dxa"/>
            <w:vAlign w:val="center"/>
          </w:tcPr>
          <w:p w14:paraId="479520D1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856" w:type="dxa"/>
            <w:vAlign w:val="center"/>
          </w:tcPr>
          <w:p w14:paraId="0532D417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856" w:type="dxa"/>
            <w:vAlign w:val="center"/>
          </w:tcPr>
          <w:p w14:paraId="145A29BA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611" w:type="dxa"/>
            <w:vAlign w:val="center"/>
          </w:tcPr>
          <w:p w14:paraId="3EAA91F1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612" w:type="dxa"/>
            <w:vAlign w:val="center"/>
          </w:tcPr>
          <w:p w14:paraId="77A61617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611" w:type="dxa"/>
            <w:vAlign w:val="center"/>
          </w:tcPr>
          <w:p w14:paraId="7A4E5D7A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611" w:type="dxa"/>
            <w:vAlign w:val="center"/>
          </w:tcPr>
          <w:p w14:paraId="046CD3BD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611" w:type="dxa"/>
            <w:vAlign w:val="center"/>
          </w:tcPr>
          <w:p w14:paraId="024FB1B7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603" w:type="dxa"/>
            <w:vAlign w:val="center"/>
          </w:tcPr>
          <w:p w14:paraId="5082D86F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</w:tr>
      <w:tr w14:paraId="161C67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exact"/>
          <w:jc w:val="center"/>
        </w:trPr>
        <w:tc>
          <w:tcPr>
            <w:tcW w:w="1710" w:type="dxa"/>
            <w:vAlign w:val="center"/>
          </w:tcPr>
          <w:p w14:paraId="52CE902D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856" w:type="dxa"/>
            <w:vAlign w:val="center"/>
          </w:tcPr>
          <w:p w14:paraId="7CD38C33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856" w:type="dxa"/>
            <w:vAlign w:val="center"/>
          </w:tcPr>
          <w:p w14:paraId="7C959A90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856" w:type="dxa"/>
            <w:vAlign w:val="center"/>
          </w:tcPr>
          <w:p w14:paraId="2820A4A0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856" w:type="dxa"/>
            <w:vAlign w:val="center"/>
          </w:tcPr>
          <w:p w14:paraId="6555E464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611" w:type="dxa"/>
            <w:vAlign w:val="center"/>
          </w:tcPr>
          <w:p w14:paraId="1ABEA67A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612" w:type="dxa"/>
            <w:vAlign w:val="center"/>
          </w:tcPr>
          <w:p w14:paraId="38947CF9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611" w:type="dxa"/>
            <w:vAlign w:val="center"/>
          </w:tcPr>
          <w:p w14:paraId="4CC4E4DA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611" w:type="dxa"/>
            <w:vAlign w:val="center"/>
          </w:tcPr>
          <w:p w14:paraId="1A55B732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611" w:type="dxa"/>
            <w:vAlign w:val="center"/>
          </w:tcPr>
          <w:p w14:paraId="3C8C42C5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603" w:type="dxa"/>
            <w:vAlign w:val="center"/>
          </w:tcPr>
          <w:p w14:paraId="6F061854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</w:tr>
      <w:tr w14:paraId="0D369C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exact"/>
          <w:jc w:val="center"/>
        </w:trPr>
        <w:tc>
          <w:tcPr>
            <w:tcW w:w="1710" w:type="dxa"/>
            <w:vAlign w:val="center"/>
          </w:tcPr>
          <w:p w14:paraId="26D4E7E1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856" w:type="dxa"/>
            <w:vAlign w:val="center"/>
          </w:tcPr>
          <w:p w14:paraId="62802BB0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856" w:type="dxa"/>
            <w:vAlign w:val="center"/>
          </w:tcPr>
          <w:p w14:paraId="6D912DBA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856" w:type="dxa"/>
            <w:vAlign w:val="center"/>
          </w:tcPr>
          <w:p w14:paraId="4E13E7E5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856" w:type="dxa"/>
            <w:vAlign w:val="center"/>
          </w:tcPr>
          <w:p w14:paraId="4E5AAE19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611" w:type="dxa"/>
            <w:vAlign w:val="center"/>
          </w:tcPr>
          <w:p w14:paraId="25494E12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612" w:type="dxa"/>
            <w:vAlign w:val="center"/>
          </w:tcPr>
          <w:p w14:paraId="109261A0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611" w:type="dxa"/>
            <w:vAlign w:val="center"/>
          </w:tcPr>
          <w:p w14:paraId="7A14B605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611" w:type="dxa"/>
            <w:vAlign w:val="center"/>
          </w:tcPr>
          <w:p w14:paraId="339F7AB0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611" w:type="dxa"/>
            <w:vAlign w:val="center"/>
          </w:tcPr>
          <w:p w14:paraId="03B579A2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603" w:type="dxa"/>
            <w:vAlign w:val="center"/>
          </w:tcPr>
          <w:p w14:paraId="26DD1D14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</w:tr>
      <w:tr w14:paraId="123A4E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exact"/>
          <w:jc w:val="center"/>
        </w:trPr>
        <w:tc>
          <w:tcPr>
            <w:tcW w:w="1710" w:type="dxa"/>
            <w:vAlign w:val="center"/>
          </w:tcPr>
          <w:p w14:paraId="3D107549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856" w:type="dxa"/>
            <w:vAlign w:val="center"/>
          </w:tcPr>
          <w:p w14:paraId="79C21F7E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856" w:type="dxa"/>
            <w:vAlign w:val="center"/>
          </w:tcPr>
          <w:p w14:paraId="3F737626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856" w:type="dxa"/>
            <w:vAlign w:val="center"/>
          </w:tcPr>
          <w:p w14:paraId="196F0523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856" w:type="dxa"/>
            <w:vAlign w:val="center"/>
          </w:tcPr>
          <w:p w14:paraId="04852608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611" w:type="dxa"/>
            <w:vAlign w:val="center"/>
          </w:tcPr>
          <w:p w14:paraId="74ABF9C3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612" w:type="dxa"/>
            <w:vAlign w:val="center"/>
          </w:tcPr>
          <w:p w14:paraId="483FA099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611" w:type="dxa"/>
            <w:vAlign w:val="center"/>
          </w:tcPr>
          <w:p w14:paraId="6EBC3CB4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611" w:type="dxa"/>
            <w:vAlign w:val="center"/>
          </w:tcPr>
          <w:p w14:paraId="64CA15EF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611" w:type="dxa"/>
            <w:vAlign w:val="center"/>
          </w:tcPr>
          <w:p w14:paraId="34AF4108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603" w:type="dxa"/>
            <w:vAlign w:val="center"/>
          </w:tcPr>
          <w:p w14:paraId="5B3D1016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</w:tr>
      <w:tr w14:paraId="5B5458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exact"/>
          <w:jc w:val="center"/>
        </w:trPr>
        <w:tc>
          <w:tcPr>
            <w:tcW w:w="1710" w:type="dxa"/>
            <w:vAlign w:val="center"/>
          </w:tcPr>
          <w:p w14:paraId="04B17397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856" w:type="dxa"/>
            <w:vAlign w:val="center"/>
          </w:tcPr>
          <w:p w14:paraId="762A937F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856" w:type="dxa"/>
            <w:vAlign w:val="center"/>
          </w:tcPr>
          <w:p w14:paraId="611CC8CC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856" w:type="dxa"/>
            <w:vAlign w:val="center"/>
          </w:tcPr>
          <w:p w14:paraId="499A5D05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856" w:type="dxa"/>
            <w:vAlign w:val="center"/>
          </w:tcPr>
          <w:p w14:paraId="7E4D06FE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611" w:type="dxa"/>
            <w:vAlign w:val="center"/>
          </w:tcPr>
          <w:p w14:paraId="24602A69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612" w:type="dxa"/>
            <w:vAlign w:val="center"/>
          </w:tcPr>
          <w:p w14:paraId="0DA6A828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611" w:type="dxa"/>
            <w:vAlign w:val="center"/>
          </w:tcPr>
          <w:p w14:paraId="41E3C102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611" w:type="dxa"/>
            <w:vAlign w:val="center"/>
          </w:tcPr>
          <w:p w14:paraId="6E8FA8A5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611" w:type="dxa"/>
            <w:vAlign w:val="center"/>
          </w:tcPr>
          <w:p w14:paraId="0B9B80BE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603" w:type="dxa"/>
            <w:vAlign w:val="center"/>
          </w:tcPr>
          <w:p w14:paraId="1CC367B4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</w:tr>
      <w:tr w14:paraId="6AFE27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exact"/>
          <w:jc w:val="center"/>
        </w:trPr>
        <w:tc>
          <w:tcPr>
            <w:tcW w:w="1710" w:type="dxa"/>
            <w:vAlign w:val="center"/>
          </w:tcPr>
          <w:p w14:paraId="0071CD7C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856" w:type="dxa"/>
            <w:vAlign w:val="center"/>
          </w:tcPr>
          <w:p w14:paraId="40877B21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856" w:type="dxa"/>
            <w:vAlign w:val="center"/>
          </w:tcPr>
          <w:p w14:paraId="5C28BC87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856" w:type="dxa"/>
            <w:vAlign w:val="center"/>
          </w:tcPr>
          <w:p w14:paraId="467BF9E4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856" w:type="dxa"/>
            <w:vAlign w:val="center"/>
          </w:tcPr>
          <w:p w14:paraId="49CEEF94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611" w:type="dxa"/>
            <w:vAlign w:val="center"/>
          </w:tcPr>
          <w:p w14:paraId="6DD1A1BE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612" w:type="dxa"/>
            <w:vAlign w:val="center"/>
          </w:tcPr>
          <w:p w14:paraId="74ABE89F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611" w:type="dxa"/>
            <w:vAlign w:val="center"/>
          </w:tcPr>
          <w:p w14:paraId="2BAFAE0C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611" w:type="dxa"/>
            <w:vAlign w:val="center"/>
          </w:tcPr>
          <w:p w14:paraId="25EDF4F7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611" w:type="dxa"/>
            <w:vAlign w:val="center"/>
          </w:tcPr>
          <w:p w14:paraId="7116BA78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603" w:type="dxa"/>
            <w:vAlign w:val="center"/>
          </w:tcPr>
          <w:p w14:paraId="20709BD4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</w:tr>
      <w:tr w14:paraId="1ACB27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exact"/>
          <w:jc w:val="center"/>
        </w:trPr>
        <w:tc>
          <w:tcPr>
            <w:tcW w:w="1710" w:type="dxa"/>
            <w:vAlign w:val="center"/>
          </w:tcPr>
          <w:p w14:paraId="4AFD5115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856" w:type="dxa"/>
            <w:vAlign w:val="center"/>
          </w:tcPr>
          <w:p w14:paraId="3BF16E68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856" w:type="dxa"/>
            <w:vAlign w:val="center"/>
          </w:tcPr>
          <w:p w14:paraId="519F4B46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856" w:type="dxa"/>
            <w:vAlign w:val="center"/>
          </w:tcPr>
          <w:p w14:paraId="6293D25C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856" w:type="dxa"/>
            <w:vAlign w:val="center"/>
          </w:tcPr>
          <w:p w14:paraId="5198770E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611" w:type="dxa"/>
            <w:vAlign w:val="center"/>
          </w:tcPr>
          <w:p w14:paraId="71DB6421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612" w:type="dxa"/>
            <w:vAlign w:val="center"/>
          </w:tcPr>
          <w:p w14:paraId="196AA7D0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611" w:type="dxa"/>
            <w:vAlign w:val="center"/>
          </w:tcPr>
          <w:p w14:paraId="4A3A0E7B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611" w:type="dxa"/>
            <w:vAlign w:val="center"/>
          </w:tcPr>
          <w:p w14:paraId="25AB74FA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611" w:type="dxa"/>
            <w:vAlign w:val="center"/>
          </w:tcPr>
          <w:p w14:paraId="65AC47D0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603" w:type="dxa"/>
            <w:vAlign w:val="center"/>
          </w:tcPr>
          <w:p w14:paraId="1F366B12"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</w:tr>
    </w:tbl>
    <w:p w14:paraId="7A464680">
      <w:pPr>
        <w:spacing w:line="20" w:lineRule="exact"/>
        <w:rPr>
          <w:rFonts w:hint="default" w:ascii="Times New Roman" w:hAnsi="Times New Roman" w:cs="Times New Roman"/>
        </w:rPr>
      </w:pPr>
    </w:p>
    <w:p w14:paraId="749439F5">
      <w:pPr>
        <w:spacing w:line="20" w:lineRule="exact"/>
        <w:rPr>
          <w:rFonts w:hint="default" w:ascii="Times New Roman" w:hAnsi="Times New Roman" w:cs="Times New Roman"/>
        </w:rPr>
      </w:pPr>
    </w:p>
    <w:p w14:paraId="1A381BC7">
      <w:pPr>
        <w:spacing w:line="20" w:lineRule="exact"/>
        <w:rPr>
          <w:rFonts w:hint="default" w:ascii="Times New Roman" w:hAnsi="Times New Roman" w:cs="Times New Roman"/>
        </w:rPr>
      </w:pPr>
    </w:p>
    <w:p w14:paraId="591EF469">
      <w:pPr>
        <w:spacing w:line="20" w:lineRule="exact"/>
        <w:rPr>
          <w:rFonts w:hint="default" w:ascii="Times New Roman" w:hAnsi="Times New Roman" w:cs="Times New Roman"/>
        </w:rPr>
      </w:pPr>
    </w:p>
    <w:p w14:paraId="5A1D280F">
      <w:pPr>
        <w:spacing w:line="20" w:lineRule="exact"/>
        <w:rPr>
          <w:rFonts w:hint="default" w:ascii="Times New Roman" w:hAnsi="Times New Roman" w:cs="Times New Roman"/>
        </w:rPr>
      </w:pPr>
    </w:p>
    <w:p w14:paraId="58090D48">
      <w:pPr>
        <w:spacing w:line="20" w:lineRule="exact"/>
        <w:rPr>
          <w:rFonts w:hint="default" w:ascii="Times New Roman" w:hAnsi="Times New Roman" w:cs="Times New Roman"/>
        </w:rPr>
      </w:pPr>
    </w:p>
    <w:p w14:paraId="26B43010">
      <w:pPr>
        <w:spacing w:line="20" w:lineRule="exact"/>
        <w:rPr>
          <w:rFonts w:hint="default" w:ascii="Times New Roman" w:hAnsi="Times New Roman" w:cs="Times New Roman"/>
        </w:rPr>
      </w:pPr>
    </w:p>
    <w:p w14:paraId="4F95E9D9">
      <w:pPr>
        <w:spacing w:line="20" w:lineRule="exact"/>
        <w:rPr>
          <w:rFonts w:hint="default" w:ascii="Times New Roman" w:hAnsi="Times New Roman" w:cs="Times New Roman"/>
        </w:rPr>
      </w:pPr>
    </w:p>
    <w:p w14:paraId="3945D895">
      <w:pPr>
        <w:spacing w:line="20" w:lineRule="exact"/>
        <w:rPr>
          <w:rFonts w:hint="default" w:ascii="Times New Roman" w:hAnsi="Times New Roman" w:cs="Times New Roman"/>
        </w:rPr>
      </w:pPr>
    </w:p>
    <w:p w14:paraId="0C0A0FC0">
      <w:pPr>
        <w:spacing w:line="20" w:lineRule="exact"/>
        <w:rPr>
          <w:rFonts w:hint="default" w:ascii="Times New Roman" w:hAnsi="Times New Roman" w:cs="Times New Roman"/>
        </w:rPr>
      </w:pPr>
    </w:p>
    <w:p w14:paraId="11B6DD57">
      <w:pPr>
        <w:pStyle w:val="2"/>
        <w:spacing w:before="0" w:beforeAutospacing="0" w:after="0" w:afterAutospacing="0" w:line="560" w:lineRule="exact"/>
        <w:rPr>
          <w:rFonts w:hint="default" w:ascii="Times New Roman" w:hAnsi="Times New Roman" w:eastAsia="黑体" w:cs="Times New Roman"/>
          <w:bCs/>
          <w:sz w:val="32"/>
          <w:szCs w:val="32"/>
        </w:rPr>
      </w:pPr>
    </w:p>
    <w:p w14:paraId="4C75B962">
      <w:pPr>
        <w:pStyle w:val="2"/>
        <w:spacing w:before="0" w:beforeAutospacing="0" w:after="0" w:afterAutospacing="0" w:line="560" w:lineRule="exact"/>
        <w:rPr>
          <w:rFonts w:hint="default" w:ascii="Times New Roman" w:hAnsi="Times New Roman" w:eastAsia="黑体" w:cs="Times New Roman"/>
          <w:bCs/>
          <w:sz w:val="32"/>
          <w:szCs w:val="32"/>
        </w:rPr>
      </w:pPr>
    </w:p>
    <w:p w14:paraId="707F8553">
      <w:pPr>
        <w:pStyle w:val="2"/>
        <w:spacing w:before="0" w:beforeAutospacing="0" w:after="0" w:afterAutospacing="0" w:line="560" w:lineRule="exact"/>
        <w:rPr>
          <w:rFonts w:hint="default" w:ascii="Times New Roman" w:hAnsi="Times New Roman" w:eastAsia="黑体" w:cs="Times New Roman"/>
          <w:bCs/>
          <w:sz w:val="32"/>
          <w:szCs w:val="32"/>
        </w:rPr>
      </w:pPr>
    </w:p>
    <w:p w14:paraId="34A53A42">
      <w:pPr>
        <w:pStyle w:val="2"/>
        <w:spacing w:before="0" w:beforeAutospacing="0" w:after="0" w:afterAutospacing="0" w:line="560" w:lineRule="exact"/>
        <w:rPr>
          <w:rFonts w:hint="default" w:ascii="Times New Roman" w:hAnsi="Times New Roman" w:eastAsia="黑体" w:cs="Times New Roman"/>
          <w:bCs/>
          <w:sz w:val="32"/>
          <w:szCs w:val="32"/>
        </w:rPr>
      </w:pPr>
      <w:r>
        <w:rPr>
          <w:rFonts w:hint="default" w:ascii="Times New Roman" w:hAnsi="Times New Roman" w:eastAsia="黑体" w:cs="Times New Roman"/>
          <w:bCs/>
          <w:sz w:val="32"/>
          <w:szCs w:val="32"/>
        </w:rPr>
        <w:t>附件3</w:t>
      </w:r>
    </w:p>
    <w:p w14:paraId="25CD3709">
      <w:pPr>
        <w:spacing w:line="640" w:lineRule="exact"/>
        <w:jc w:val="center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考生电子摄像要求</w:t>
      </w:r>
    </w:p>
    <w:p w14:paraId="06505E2A">
      <w:pPr>
        <w:spacing w:line="560" w:lineRule="exact"/>
        <w:ind w:firstLine="880" w:firstLineChars="200"/>
        <w:jc w:val="center"/>
        <w:rPr>
          <w:rFonts w:hint="default" w:ascii="Times New Roman" w:hAnsi="Times New Roman" w:eastAsia="方正小标宋_GBK" w:cs="Times New Roman"/>
          <w:sz w:val="44"/>
          <w:szCs w:val="44"/>
        </w:rPr>
      </w:pPr>
    </w:p>
    <w:p w14:paraId="4FCA1EFF">
      <w:pPr>
        <w:spacing w:line="560" w:lineRule="exact"/>
        <w:ind w:firstLine="600" w:firstLineChars="200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1.使用自然光采像：在环境光线较好的情况下可直接使用自然光采像，采像时注意自然光射入方向，避免出现照片中出现光斑或照片面部光线不均匀的情况。</w:t>
      </w:r>
    </w:p>
    <w:p w14:paraId="4881EA0C">
      <w:pPr>
        <w:spacing w:line="560" w:lineRule="exact"/>
        <w:ind w:firstLine="600" w:firstLineChars="200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2.采用人工照明采像；在阴天或自然光线差的情况下可以使用人工灯光照明采像。推荐使用专门的摄影灯光器材，也可使用落地白炽灯或三基色荧光灯。灯光布局原则为能均匀照亮考生面部，不出现亮斑和阴影，在背景上不留阴影。同时注意拍摄戴眼镜考生照片时，镜片上不出现反光。使用白炽灯或荧光灯照明时，须注意调节白平衡，防止照片出现偏色。</w:t>
      </w:r>
    </w:p>
    <w:p w14:paraId="54815889">
      <w:pPr>
        <w:spacing w:line="560" w:lineRule="exact"/>
        <w:ind w:firstLine="600" w:firstLineChars="200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3.采像对考生的要求：考生采像时正常着装，不得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戴</w:t>
      </w:r>
      <w:r>
        <w:rPr>
          <w:rFonts w:hint="default" w:ascii="Times New Roman" w:hAnsi="Times New Roman" w:eastAsia="仿宋_GB2312" w:cs="Times New Roman"/>
          <w:sz w:val="30"/>
          <w:szCs w:val="30"/>
        </w:rPr>
        <w:t>帽子和过高的围巾，女生长发不得遮蔽面部。考生一般不要化妆，但对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30"/>
          <w:szCs w:val="30"/>
        </w:rPr>
        <w:t>于少数油脂性皮肤考生可稍微打粉质粉底，防止脸上出现油光。考生采像时须保持头部和身体挺直，正视摄像头或摄像机，面部表情自然。</w:t>
      </w:r>
    </w:p>
    <w:p w14:paraId="630961E2">
      <w:pPr>
        <w:spacing w:line="560" w:lineRule="exact"/>
        <w:ind w:firstLine="600" w:firstLineChars="200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采像：考生电子照片必须使用市教育考试院统一下发的采相软件进行采集，照片采集后不得使用第三方软件进行任何调整和修饰。考生电子照片要求主体突出，细节清晰，能准确反映考生面部特征，照片不偏色，不可过亮或过暗。具体要求为：考生头部在垂直方向和水平方向应占据照片约2/3～3/4位置，考生头像位于照片水平中央，头顶距照片顶部约占照片总高度1/6～1/10。</w:t>
      </w:r>
    </w:p>
    <w:p w14:paraId="5EC8DAE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9910A5"/>
    <w:rsid w:val="00382DEE"/>
    <w:rsid w:val="0A514034"/>
    <w:rsid w:val="13D9078E"/>
    <w:rsid w:val="22032DDD"/>
    <w:rsid w:val="3B9910A5"/>
    <w:rsid w:val="61F713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442</Words>
  <Characters>473</Characters>
  <Lines>0</Lines>
  <Paragraphs>0</Paragraphs>
  <TotalTime>0</TotalTime>
  <ScaleCrop>false</ScaleCrop>
  <LinksUpToDate>false</LinksUpToDate>
  <CharactersWithSpaces>478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2025-02-26T00:50:00Z</dcterms:created>
  <dc:creator>侠</dc:creator>
  <cp:lastModifiedBy>吴世勋的吴夫人</cp:lastModifiedBy>
  <dcterms:modified xsi:type="dcterms:W3CDTF">2025-03-21T03:01:49Z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eyJoZGlkIjoiZWZlMjEzM2Q0Yjc0YjZkYzc3YWU1NDE2MjE4NTM4NmQiLCJ1c2VySWQiOiI0NjE4OTg0MjgifQ==</vt:lpwstr>
  </property>
  <property fmtid="{D5CDD505-2E9C-101B-9397-08002B2CF9AE}" pid="4" name="ICV">
    <vt:lpwstr>8C985632131046B0851DA42BB89DA795_12</vt:lpwstr>
  </property>
</Properties>
</file>